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1D" w:rsidRPr="00C86005" w:rsidRDefault="0017421D" w:rsidP="0017421D">
      <w:pPr>
        <w:spacing w:line="276" w:lineRule="auto"/>
        <w:jc w:val="both"/>
        <w:rPr>
          <w:rFonts w:ascii="Arial" w:hAnsi="Arial" w:cs="Arial"/>
          <w:b/>
          <w:bCs/>
          <w:sz w:val="26"/>
          <w:szCs w:val="26"/>
        </w:rPr>
      </w:pPr>
      <w:r w:rsidRPr="00C86005">
        <w:rPr>
          <w:rFonts w:ascii="Arial" w:hAnsi="Arial" w:cs="Arial"/>
          <w:b/>
          <w:bCs/>
          <w:sz w:val="26"/>
          <w:szCs w:val="26"/>
        </w:rPr>
        <w:t>La garantía del principio de legalidad en el proceso de altos funcionarios del estado por infracción constitucional en el Perú</w:t>
      </w:r>
    </w:p>
    <w:p w:rsidR="0017421D" w:rsidRPr="00C86005" w:rsidRDefault="0017421D" w:rsidP="0017421D">
      <w:pPr>
        <w:spacing w:line="240" w:lineRule="auto"/>
        <w:jc w:val="center"/>
        <w:rPr>
          <w:rFonts w:ascii="Arial" w:hAnsi="Arial" w:cs="Arial"/>
          <w:sz w:val="26"/>
          <w:szCs w:val="26"/>
          <w:lang w:val="en-US"/>
        </w:rPr>
      </w:pPr>
      <w:r w:rsidRPr="00C86005">
        <w:rPr>
          <w:rFonts w:ascii="Arial" w:hAnsi="Arial" w:cs="Arial"/>
          <w:sz w:val="26"/>
          <w:szCs w:val="26"/>
          <w:lang w:val="en-US"/>
        </w:rPr>
        <w:t>The guarantee of the principle of legality in the process of senior state officials for constitutional infringement in Peru</w:t>
      </w:r>
    </w:p>
    <w:p w:rsidR="0017421D" w:rsidRPr="00945EF7" w:rsidRDefault="0017421D" w:rsidP="0017421D">
      <w:pPr>
        <w:spacing w:line="240" w:lineRule="auto"/>
        <w:jc w:val="center"/>
        <w:rPr>
          <w:rFonts w:ascii="Times New Roman" w:hAnsi="Times New Roman" w:cs="Times New Roman"/>
          <w:sz w:val="20"/>
          <w:szCs w:val="18"/>
          <w:vertAlign w:val="superscript"/>
        </w:rPr>
      </w:pPr>
      <w:bookmarkStart w:id="0" w:name="_GoBack"/>
      <w:r w:rsidRPr="00C86005">
        <w:rPr>
          <w:rFonts w:ascii="Times New Roman" w:hAnsi="Times New Roman" w:cs="Times New Roman"/>
          <w:sz w:val="20"/>
          <w:szCs w:val="18"/>
        </w:rPr>
        <w:t>CARLOS GUILLERMO MORENO RENTERÍA</w:t>
      </w:r>
      <w:bookmarkEnd w:id="0"/>
      <w:r w:rsidRPr="00C86005">
        <w:rPr>
          <w:rStyle w:val="Refdenotaalpie"/>
          <w:rFonts w:ascii="Times New Roman" w:hAnsi="Times New Roman" w:cs="Times New Roman"/>
          <w:sz w:val="20"/>
          <w:szCs w:val="18"/>
        </w:rPr>
        <w:footnoteReference w:id="1"/>
      </w:r>
      <w:r w:rsidRPr="00C86005">
        <w:rPr>
          <w:rFonts w:ascii="Times New Roman" w:hAnsi="Times New Roman" w:cs="Times New Roman"/>
          <w:noProof/>
          <w:sz w:val="20"/>
          <w:szCs w:val="18"/>
          <w:lang w:eastAsia="es-PE"/>
        </w:rPr>
        <mc:AlternateContent>
          <mc:Choice Requires="wps">
            <w:drawing>
              <wp:anchor distT="0" distB="0" distL="114300" distR="114300" simplePos="0" relativeHeight="251659264" behindDoc="0" locked="0" layoutInCell="1" allowOverlap="1" wp14:anchorId="4BBF6EA4" wp14:editId="0A046B23">
                <wp:simplePos x="0" y="0"/>
                <wp:positionH relativeFrom="margin">
                  <wp:align>right</wp:align>
                </wp:positionH>
                <wp:positionV relativeFrom="paragraph">
                  <wp:posOffset>246668</wp:posOffset>
                </wp:positionV>
                <wp:extent cx="5450774"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45077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964C9F" id="Conector recto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pt,19.4pt" to="807.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f0wEAAI4DAAAOAAAAZHJzL2Uyb0RvYy54bWysU01vGjEQvVfKf7B8D7ukIYlWLDmA0kvV&#10;IjXtfeK1WUv+0ozLwr/v2BBE21tVDsb2eN7Me/N2+XzwTuw1ko2hl/NZK4UOKg427Hr5/fXl9kkK&#10;yhAGcDHoXh41yefVzYfllDp9F8foBo2CQQJ1U+rlmHPqmobUqD3QLCYdOGgiesh8xF0zIEyM7l1z&#10;17YPzRRxSBiVJuLbzSkoVxXfGK3yV2NIZ+F6yb3lumJd38rarJbQ7RDSaNW5DfiHLjzYwEUvUBvI&#10;IH6i/QvKW4WRoskzFX0TjbFKVw7MZt7+webbCElXLiwOpYtM9P9g1Zf9FoUdeHZSBPA8ojUPSuWI&#10;AsufmBeNpkQdP12HLZ5PlLZYCB8MemGcTT8KRLlhUuJQFT5eFNaHLBRfLu4X7ePjvRTqPdacIEpi&#10;QsqfdPSibHrpbCjkoYP9Z8pclp++PynXIb5Y5+oAXRBTLx8+LnjECthGxkHmrU9MjMJOCnA79qfK&#10;WBEpOjuU7IJDR1o7FHtgi7Czhji9crtSOKDMAeZQf0UG7uC31NLOBmg8JdfQyVHeZra1s76XT9fZ&#10;LpSKuhrzTKpIexKz7N7icKwaN+XEQ69FzwYtrro+8/76M1r9AgAA//8DAFBLAwQUAAYACAAAACEA&#10;1sy929wAAAAGAQAADwAAAGRycy9kb3ducmV2LnhtbEyPzU7DMBCE70i8g7VI3KhT/hSlcSoEQr2B&#10;CBS1Nzde4gh7HcVOm/L0LOIAx50ZzXxbLifvxB6H2AVSMJ9lIJCaYDpqFby9Pl7kIGLSZLQLhAqO&#10;GGFZnZ6UujDhQC+4r1MruIRioRXYlPpCythY9DrOQo/E3kcYvE58Dq00gz5wuXfyMstupdcd8YLV&#10;Pd5bbD7r0SvYPtnVSm/H9fT8fpx/baSru4e1Uudn090CRMIp/YXhB5/RoWKmXRjJROEU8CNJwVXO&#10;/OzmN/k1iN2vIKtS/sevvgEAAP//AwBQSwECLQAUAAYACAAAACEAtoM4kv4AAADhAQAAEwAAAAAA&#10;AAAAAAAAAAAAAAAAW0NvbnRlbnRfVHlwZXNdLnhtbFBLAQItABQABgAIAAAAIQA4/SH/1gAAAJQB&#10;AAALAAAAAAAAAAAAAAAAAC8BAABfcmVscy8ucmVsc1BLAQItABQABgAIAAAAIQD+N39f0wEAAI4D&#10;AAAOAAAAAAAAAAAAAAAAAC4CAABkcnMvZTJvRG9jLnhtbFBLAQItABQABgAIAAAAIQDWzL3b3AAA&#10;AAYBAAAPAAAAAAAAAAAAAAAAAC0EAABkcnMvZG93bnJldi54bWxQSwUGAAAAAAQABADzAAAANgUA&#10;AAAA&#10;" strokecolor="windowText" strokeweight=".5pt">
                <v:stroke joinstyle="miter"/>
                <w10:wrap anchorx="margin"/>
              </v:line>
            </w:pict>
          </mc:Fallback>
        </mc:AlternateContent>
      </w:r>
      <w:r>
        <w:rPr>
          <w:rFonts w:ascii="Times New Roman" w:hAnsi="Times New Roman" w:cs="Times New Roman"/>
          <w:sz w:val="20"/>
          <w:szCs w:val="18"/>
        </w:rPr>
        <w:t xml:space="preserve">, </w:t>
      </w:r>
      <w:r w:rsidRPr="00945EF7">
        <w:rPr>
          <w:rFonts w:ascii="Times New Roman" w:hAnsi="Times New Roman" w:cs="Times New Roman"/>
          <w:sz w:val="20"/>
          <w:szCs w:val="18"/>
        </w:rPr>
        <w:t>VÍCTOR WILLIAM ROJAS LUJÁN</w:t>
      </w:r>
      <w:r>
        <w:rPr>
          <w:rFonts w:ascii="Times New Roman" w:hAnsi="Times New Roman" w:cs="Times New Roman"/>
          <w:sz w:val="20"/>
          <w:szCs w:val="18"/>
          <w:vertAlign w:val="superscript"/>
        </w:rPr>
        <w:t>2</w:t>
      </w:r>
    </w:p>
    <w:p w:rsidR="0017421D" w:rsidRPr="00C86005" w:rsidRDefault="0017421D" w:rsidP="0017421D">
      <w:pPr>
        <w:pStyle w:val="Sinespaciado"/>
        <w:rPr>
          <w:rFonts w:ascii="Arial" w:hAnsi="Arial" w:cs="Arial"/>
          <w:b/>
          <w:bCs/>
          <w:sz w:val="18"/>
          <w:szCs w:val="18"/>
        </w:rPr>
      </w:pPr>
    </w:p>
    <w:p w:rsidR="0017421D" w:rsidRPr="00C86005" w:rsidRDefault="0017421D" w:rsidP="0017421D">
      <w:pPr>
        <w:pStyle w:val="Sinespaciado"/>
        <w:rPr>
          <w:rFonts w:ascii="Arial" w:hAnsi="Arial" w:cs="Arial"/>
          <w:b/>
          <w:bCs/>
          <w:sz w:val="18"/>
          <w:szCs w:val="18"/>
        </w:rPr>
      </w:pPr>
      <w:r w:rsidRPr="00C86005">
        <w:rPr>
          <w:rFonts w:ascii="Arial" w:hAnsi="Arial" w:cs="Arial"/>
          <w:b/>
          <w:bCs/>
          <w:sz w:val="18"/>
          <w:szCs w:val="18"/>
        </w:rPr>
        <w:t>RESUMEN</w:t>
      </w:r>
    </w:p>
    <w:p w:rsidR="0017421D" w:rsidRPr="00C86005" w:rsidRDefault="0017421D" w:rsidP="0017421D">
      <w:pPr>
        <w:pStyle w:val="Sinespaciado"/>
        <w:rPr>
          <w:rFonts w:ascii="Arial" w:hAnsi="Arial" w:cs="Arial"/>
          <w:b/>
          <w:bCs/>
          <w:sz w:val="18"/>
          <w:szCs w:val="18"/>
        </w:rPr>
      </w:pPr>
    </w:p>
    <w:p w:rsidR="0017421D" w:rsidRPr="00C86005" w:rsidRDefault="0017421D" w:rsidP="0017421D">
      <w:pPr>
        <w:pStyle w:val="Sinespaciado"/>
        <w:jc w:val="both"/>
        <w:rPr>
          <w:rFonts w:ascii="Times New Roman" w:hAnsi="Times New Roman" w:cs="Times New Roman"/>
          <w:sz w:val="20"/>
          <w:szCs w:val="20"/>
        </w:rPr>
      </w:pPr>
      <w:r w:rsidRPr="00C86005">
        <w:rPr>
          <w:rFonts w:ascii="Times New Roman" w:hAnsi="Times New Roman" w:cs="Times New Roman"/>
          <w:sz w:val="20"/>
          <w:szCs w:val="20"/>
        </w:rPr>
        <w:t>La investigación tuvo por objetivo determinar si dentro del procedimiento de acusación constitucional en el ámbito político, se garantiza el principio de legalidad de los altos funcionarios que presuntamente realizan infracciones constitucionales o hechos catalogados como delitos, bajo lo establecido en los artículos 99° y 100° de la Constitución Política, así como los artículos 88° y 89° del Propio Reglamento del Congreso. La metodología de trabajo, según el propósito es aplicada y según el diseño de investigación no experimental- longitudinal, cuya muestra se conformó por resoluciones de la Comisión del Parlamento y/o del Poder Judicial y/o Tribunal Constitucional en una variedad de tiempo, utilizando la técnica de análisis documental.</w:t>
      </w:r>
    </w:p>
    <w:p w:rsidR="0017421D" w:rsidRPr="00C86005" w:rsidRDefault="0017421D" w:rsidP="0017421D">
      <w:pPr>
        <w:pStyle w:val="Sinespaciado"/>
        <w:jc w:val="both"/>
        <w:rPr>
          <w:rFonts w:ascii="Times New Roman" w:hAnsi="Times New Roman" w:cs="Times New Roman"/>
          <w:sz w:val="20"/>
          <w:szCs w:val="20"/>
        </w:rPr>
      </w:pPr>
      <w:r w:rsidRPr="00C86005">
        <w:rPr>
          <w:rFonts w:ascii="Times New Roman" w:hAnsi="Times New Roman" w:cs="Times New Roman"/>
          <w:sz w:val="20"/>
          <w:szCs w:val="20"/>
        </w:rPr>
        <w:t>Se concluyó que la falta de tipificación taxativa sobre sobre la configuración de la infracción constitucional, establecidos en los artículos 99° y 100° de la Constitución Política, así como los artículos 88° y 89° del Propio Reglamento del Congreso vulnera el principio de legalidad.</w:t>
      </w:r>
    </w:p>
    <w:p w:rsidR="0017421D" w:rsidRPr="00C86005" w:rsidRDefault="0017421D" w:rsidP="0017421D">
      <w:pPr>
        <w:pStyle w:val="Sinespaciado"/>
        <w:jc w:val="both"/>
        <w:rPr>
          <w:rFonts w:ascii="Times New Roman" w:hAnsi="Times New Roman" w:cs="Times New Roman"/>
          <w:sz w:val="20"/>
          <w:szCs w:val="20"/>
        </w:rPr>
      </w:pPr>
    </w:p>
    <w:p w:rsidR="0017421D" w:rsidRPr="00C86005" w:rsidRDefault="0017421D" w:rsidP="0017421D">
      <w:pPr>
        <w:spacing w:line="240" w:lineRule="auto"/>
        <w:jc w:val="both"/>
        <w:rPr>
          <w:rFonts w:ascii="Times New Roman" w:hAnsi="Times New Roman" w:cs="Times New Roman"/>
          <w:sz w:val="20"/>
          <w:szCs w:val="20"/>
        </w:rPr>
      </w:pPr>
      <w:r w:rsidRPr="00C86005">
        <w:rPr>
          <w:rFonts w:ascii="Times New Roman" w:hAnsi="Times New Roman" w:cs="Times New Roman"/>
          <w:noProof/>
          <w:sz w:val="20"/>
          <w:szCs w:val="20"/>
          <w:lang w:eastAsia="es-PE"/>
        </w:rPr>
        <mc:AlternateContent>
          <mc:Choice Requires="wps">
            <w:drawing>
              <wp:anchor distT="0" distB="0" distL="114300" distR="114300" simplePos="0" relativeHeight="251660288" behindDoc="0" locked="0" layoutInCell="1" allowOverlap="1" wp14:anchorId="668EE438" wp14:editId="12D635A0">
                <wp:simplePos x="0" y="0"/>
                <wp:positionH relativeFrom="margin">
                  <wp:align>center</wp:align>
                </wp:positionH>
                <wp:positionV relativeFrom="paragraph">
                  <wp:posOffset>181099</wp:posOffset>
                </wp:positionV>
                <wp:extent cx="5462650" cy="23750"/>
                <wp:effectExtent l="0" t="0" r="24130" b="33655"/>
                <wp:wrapNone/>
                <wp:docPr id="2" name="Conector recto 2"/>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037686" id="Conector recto 2"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25pt" to="430.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6a1QEAAJIDAAAOAAAAZHJzL2Uyb0RvYy54bWysU02P0zAQvSPxHyzfabpZtqyipntotVwQ&#10;VGLhPuvYiSV/acY07b9n7JaqwA2RgzMfnpd5bybrp6N34qCRbAy9vFsspdBBxcGGsZffXp7fPUpB&#10;GcIALgbdy5Mm+bR5+2Y9p063cYpu0CgYJFA3p15OOaeuaUhN2gMtYtKBkyaih8wujs2AMDO6d027&#10;XK6aOeKQMCpNxNHdOSk3Fd8YrfIXY0hn4XrJveV6Yj1fy9ls1tCNCGmy6tIG/EMXHmzgj16hdpBB&#10;/ED7F5S3CiNFkxcq+iYaY5WuHJjN3fIPNl8nSLpyYXEoXWWi/werPh/2KOzQy1aKAJ5HtOVBqRxR&#10;YHmJtmg0J+r46jbs8eJR2mMhfDTohXE2fefxVwmYlDhWhU9XhfUxC8XBh/erdvXAg1Cca+8/sMl4&#10;zRmmwCWk/FFHL4rRS2dDEQA6OHyifL7660oJh/hsneM4dC6IuZer+4oOvErGQeYP+cTkKIxSgBt5&#10;R1XGikjR2aFUl2I60dahOACvCW/XEOcXblkKB5Q5wTzqc2n2t9LSzg5oOhfXVLkGnbeZV9tZ38vH&#10;22oXSlbX5byQKvKeBS3WaxxOVeemeDz4qtBlSctm3fps3/5Km58AAAD//wMAUEsDBBQABgAIAAAA&#10;IQBQcsfb3gAAAAYBAAAPAAAAZHJzL2Rvd25yZXYueG1sTI9BS8NAFITvgv9heYI3u2mKJaTZFFGk&#10;N8XUir29Jq/Z4O7bkN20qb/e9aTHYYaZb4r1ZI040eA7xwrmswQEce2ajlsF79vnuwyED8gNGsek&#10;4EIe1uX1VYF54878RqcqtCKWsM9RgQ6hz6X0tSaLfuZ64ugd3WAxRDm0shnwHMutkWmSLKXFjuOC&#10;xp4eNdVf1WgV7F/0ZoP7cTe9flzm35/SVN3TTqnbm+lhBSLQFP7C8Isf0aGMTAc3cuOFURCPBAVp&#10;dg8iutkyWYA4KFikKciykP/xyx8AAAD//wMAUEsBAi0AFAAGAAgAAAAhALaDOJL+AAAA4QEAABMA&#10;AAAAAAAAAAAAAAAAAAAAAFtDb250ZW50X1R5cGVzXS54bWxQSwECLQAUAAYACAAAACEAOP0h/9YA&#10;AACUAQAACwAAAAAAAAAAAAAAAAAvAQAAX3JlbHMvLnJlbHNQSwECLQAUAAYACAAAACEA6u2emtUB&#10;AACSAwAADgAAAAAAAAAAAAAAAAAuAgAAZHJzL2Uyb0RvYy54bWxQSwECLQAUAAYACAAAACEAUHLH&#10;294AAAAGAQAADwAAAAAAAAAAAAAAAAAvBAAAZHJzL2Rvd25yZXYueG1sUEsFBgAAAAAEAAQA8wAA&#10;ADoFAAAAAA==&#10;" strokecolor="windowText" strokeweight=".5pt">
                <v:stroke joinstyle="miter"/>
                <w10:wrap anchorx="margin"/>
              </v:line>
            </w:pict>
          </mc:Fallback>
        </mc:AlternateContent>
      </w:r>
      <w:r w:rsidRPr="00C86005">
        <w:rPr>
          <w:rFonts w:ascii="Times New Roman" w:hAnsi="Times New Roman" w:cs="Times New Roman"/>
          <w:b/>
          <w:bCs/>
          <w:sz w:val="20"/>
          <w:szCs w:val="20"/>
        </w:rPr>
        <w:t>Palabras clave</w:t>
      </w:r>
      <w:r w:rsidRPr="00C86005">
        <w:rPr>
          <w:rFonts w:ascii="Times New Roman" w:hAnsi="Times New Roman" w:cs="Times New Roman"/>
          <w:sz w:val="20"/>
          <w:szCs w:val="20"/>
        </w:rPr>
        <w:t xml:space="preserve">: acusación constitucional; ámbito político; legalidad; funcionarios; constitución. </w:t>
      </w:r>
    </w:p>
    <w:p w:rsidR="0017421D" w:rsidRPr="00C86005" w:rsidRDefault="0017421D" w:rsidP="0017421D">
      <w:pPr>
        <w:rPr>
          <w:rFonts w:ascii="Arial" w:hAnsi="Arial" w:cs="Arial"/>
          <w:b/>
          <w:bCs/>
          <w:sz w:val="18"/>
          <w:szCs w:val="18"/>
          <w:lang w:val="en-US"/>
        </w:rPr>
      </w:pPr>
      <w:r w:rsidRPr="00C86005">
        <w:rPr>
          <w:rFonts w:ascii="Arial" w:hAnsi="Arial" w:cs="Arial"/>
          <w:b/>
          <w:bCs/>
          <w:sz w:val="18"/>
          <w:szCs w:val="18"/>
          <w:lang w:val="en-US"/>
        </w:rPr>
        <w:t>ABSTRACT</w:t>
      </w:r>
    </w:p>
    <w:p w:rsidR="0017421D" w:rsidRPr="00C86005" w:rsidRDefault="0017421D" w:rsidP="0017421D">
      <w:pPr>
        <w:pStyle w:val="Sinespaciado"/>
        <w:jc w:val="both"/>
        <w:rPr>
          <w:rFonts w:ascii="Times New Roman" w:hAnsi="Times New Roman" w:cs="Times New Roman"/>
          <w:sz w:val="20"/>
          <w:szCs w:val="20"/>
          <w:lang w:val="en-US"/>
        </w:rPr>
      </w:pPr>
      <w:r w:rsidRPr="00C86005">
        <w:rPr>
          <w:rFonts w:ascii="Times New Roman" w:hAnsi="Times New Roman" w:cs="Times New Roman"/>
          <w:sz w:val="20"/>
          <w:szCs w:val="20"/>
          <w:lang w:val="en-US"/>
        </w:rPr>
        <w:t>The objective of the investigation was to determine whether within the constitutional prosecution procedure in the political sphere, the principle of legality of senior officials who allegedly carry out constitutional offenses or events classified as crimes is guaranteed, under the provisions of Articles 99 and 100 of the Political Constitution, as well as articles 88 ° and 89 ° of the Congress's own Regulations. The work methodology, according to the purpose is applied and according to the non-experimental-longitudinal research design, whose sample was made up of resolutions of the Parliament Commission and / or the Judicial Power and / or Constitutional Court in a variety of time, using the documentary analysis technique.</w:t>
      </w:r>
    </w:p>
    <w:p w:rsidR="0017421D" w:rsidRPr="00C86005" w:rsidRDefault="0017421D" w:rsidP="0017421D">
      <w:pPr>
        <w:pStyle w:val="Sinespaciado"/>
        <w:jc w:val="both"/>
        <w:rPr>
          <w:rFonts w:ascii="Times New Roman" w:hAnsi="Times New Roman" w:cs="Times New Roman"/>
          <w:sz w:val="20"/>
          <w:szCs w:val="20"/>
          <w:lang w:val="en-US"/>
        </w:rPr>
      </w:pPr>
      <w:r w:rsidRPr="00C86005">
        <w:rPr>
          <w:rFonts w:ascii="Times New Roman" w:hAnsi="Times New Roman" w:cs="Times New Roman"/>
          <w:sz w:val="20"/>
          <w:szCs w:val="20"/>
          <w:lang w:val="en-US"/>
        </w:rPr>
        <w:t>It was concluded that the lack of exhaustive classification on the configuration of the constitutional infringement, established in articles 99 and 100 of the Political Constitution, as well as articles 88 and 89 of the Congress's own Regulations violates the principle of legality.</w:t>
      </w:r>
    </w:p>
    <w:p w:rsidR="0017421D" w:rsidRPr="00C86005" w:rsidRDefault="0017421D" w:rsidP="0017421D">
      <w:pPr>
        <w:pStyle w:val="Sinespaciado"/>
        <w:jc w:val="both"/>
        <w:rPr>
          <w:rFonts w:ascii="Times New Roman" w:hAnsi="Times New Roman" w:cs="Times New Roman"/>
          <w:sz w:val="20"/>
          <w:szCs w:val="20"/>
          <w:lang w:val="en-US"/>
        </w:rPr>
        <w:sectPr w:rsidR="0017421D" w:rsidRPr="00C86005" w:rsidSect="00FE09A7">
          <w:headerReference w:type="default" r:id="rId8"/>
          <w:footerReference w:type="default" r:id="rId9"/>
          <w:pgSz w:w="11906" w:h="16838"/>
          <w:pgMar w:top="1258" w:right="1701" w:bottom="1417" w:left="1701" w:header="708" w:footer="708" w:gutter="0"/>
          <w:cols w:space="708"/>
          <w:docGrid w:linePitch="360"/>
        </w:sectPr>
      </w:pPr>
    </w:p>
    <w:p w:rsidR="0017421D" w:rsidRPr="00C86005" w:rsidRDefault="0017421D" w:rsidP="0017421D">
      <w:pPr>
        <w:pStyle w:val="Sinespaciado"/>
        <w:jc w:val="both"/>
        <w:rPr>
          <w:rFonts w:ascii="Times New Roman" w:hAnsi="Times New Roman" w:cs="Times New Roman"/>
          <w:sz w:val="20"/>
          <w:szCs w:val="20"/>
          <w:lang w:val="en-US"/>
        </w:rPr>
      </w:pPr>
    </w:p>
    <w:p w:rsidR="0017421D" w:rsidRPr="00C86005" w:rsidRDefault="0017421D" w:rsidP="0017421D">
      <w:pPr>
        <w:rPr>
          <w:rFonts w:ascii="Times New Roman" w:hAnsi="Times New Roman" w:cs="Times New Roman"/>
          <w:b/>
          <w:bCs/>
          <w:sz w:val="18"/>
          <w:szCs w:val="18"/>
          <w:lang w:val="en-US"/>
        </w:rPr>
      </w:pPr>
      <w:r w:rsidRPr="00C86005">
        <w:rPr>
          <w:rFonts w:ascii="Times New Roman" w:hAnsi="Times New Roman" w:cs="Times New Roman"/>
          <w:noProof/>
          <w:sz w:val="20"/>
          <w:szCs w:val="20"/>
          <w:lang w:eastAsia="es-PE"/>
        </w:rPr>
        <mc:AlternateContent>
          <mc:Choice Requires="wps">
            <w:drawing>
              <wp:anchor distT="0" distB="0" distL="114300" distR="114300" simplePos="0" relativeHeight="251661312" behindDoc="0" locked="0" layoutInCell="1" allowOverlap="1" wp14:anchorId="3ED40993" wp14:editId="67802D0F">
                <wp:simplePos x="0" y="0"/>
                <wp:positionH relativeFrom="margin">
                  <wp:align>right</wp:align>
                </wp:positionH>
                <wp:positionV relativeFrom="paragraph">
                  <wp:posOffset>189865</wp:posOffset>
                </wp:positionV>
                <wp:extent cx="5462650" cy="23750"/>
                <wp:effectExtent l="0" t="0" r="24130" b="33655"/>
                <wp:wrapNone/>
                <wp:docPr id="3" name="Conector recto 3"/>
                <wp:cNvGraphicFramePr/>
                <a:graphic xmlns:a="http://schemas.openxmlformats.org/drawingml/2006/main">
                  <a:graphicData uri="http://schemas.microsoft.com/office/word/2010/wordprocessingShape">
                    <wps:wsp>
                      <wps:cNvCnPr/>
                      <wps:spPr>
                        <a:xfrm flipV="1">
                          <a:off x="0" y="0"/>
                          <a:ext cx="5462650" cy="237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7CA6BE" id="Conector recto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95pt,14.95pt" to="809.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cn1QEAAJIDAAAOAAAAZHJzL2Uyb0RvYy54bWysU01v2zAMvQ/ofxB0X5wma1YYcXpI0F2G&#10;LcC63VlZsgXoC6QaJ/9+lJIF2XYb5oPMD/GZ75FePx29EweNZGPo5P1sLoUOKvY2DJ38/vL8/lEK&#10;yhB6cDHoTp40yafN3bv1lFq9iGN0vUbBIIHaKXVyzDm1TUNq1B5oFpMOnDQRPWR2cWh6hInRvWsW&#10;8/mqmSL2CaPSRBzdnZNyU/GN0Sp/NYZ0Fq6T3FuuJ9bztZzNZg3tgJBGqy5twD904cEG/ugVagcZ&#10;xBvav6C8VRgpmjxT0TfRGKt05cBs7ud/sPk2QtKVC4tD6SoT/T9Y9eWwR2H7Ti6lCOB5RFselMoR&#10;BZaXWBaNpkQtX92GPV48SnsshI8GvTDOph88/ioBkxLHqvDpqrA+ZqE4+PBhtVg98CAU5xbLj2wy&#10;XnOGKXAJKX/S0YtidNLZUASAFg6fKZ+v/rpSwiE+W+c4Dq0LYurkalnRgVfJOMj8IZ+YHIVBCnAD&#10;76jKWBEpOtuX6lJMJ9o6FAfgNeHt6uP0wi1L4YAyJ5hHfS7N/lZa2tkBjefimirXoPU282o76zv5&#10;eFvtQsnqupwXUkXes6DFeo39qercFI8HXxW6LGnZrFuf7dtfafMTAAD//wMAUEsDBBQABgAIAAAA&#10;IQBSusif3gAAAAYBAAAPAAAAZHJzL2Rvd25yZXYueG1sTI9PS8NAFMTvgt9heYI3u2kDoY15KaJI&#10;b4rRir29Js9scP+E7KZN/fRdT/U4zDDzm2I9GS0OPPjOWYT5LAHBtnZNZ1uEj/fnuyUIH8g2pJ1l&#10;hBN7WJfXVwXljTvaNz5UoRWxxPqcEFQIfS6lrxUb8jPXs43etxsMhSiHVjYDHWO50XKRJJk01Nm4&#10;oKjnR8X1TzUahN2L2mxoN26n18/T/PdL6qp72iLe3kwP9yACT+EShj/8iA5lZNq70TZeaIR4JCAs&#10;VisQ0V1mSQpij5CmGciykP/xyzMAAAD//wMAUEsBAi0AFAAGAAgAAAAhALaDOJL+AAAA4QEAABMA&#10;AAAAAAAAAAAAAAAAAAAAAFtDb250ZW50X1R5cGVzXS54bWxQSwECLQAUAAYACAAAACEAOP0h/9YA&#10;AACUAQAACwAAAAAAAAAAAAAAAAAvAQAAX3JlbHMvLnJlbHNQSwECLQAUAAYACAAAACEAvPR3J9UB&#10;AACSAwAADgAAAAAAAAAAAAAAAAAuAgAAZHJzL2Uyb0RvYy54bWxQSwECLQAUAAYACAAAACEAUrrI&#10;n94AAAAGAQAADwAAAAAAAAAAAAAAAAAvBAAAZHJzL2Rvd25yZXYueG1sUEsFBgAAAAAEAAQA8wAA&#10;ADoFAAAAAA==&#10;" strokecolor="windowText" strokeweight=".5pt">
                <v:stroke joinstyle="miter"/>
                <w10:wrap anchorx="margin"/>
              </v:line>
            </w:pict>
          </mc:Fallback>
        </mc:AlternateContent>
      </w:r>
      <w:r w:rsidRPr="00C86005">
        <w:rPr>
          <w:rFonts w:ascii="Times New Roman" w:hAnsi="Times New Roman" w:cs="Times New Roman"/>
          <w:b/>
          <w:bCs/>
          <w:sz w:val="20"/>
          <w:szCs w:val="20"/>
          <w:lang w:val="en-US"/>
        </w:rPr>
        <w:t xml:space="preserve">Keywords: </w:t>
      </w:r>
      <w:r w:rsidRPr="00C86005">
        <w:rPr>
          <w:rFonts w:ascii="Times New Roman" w:hAnsi="Times New Roman" w:cs="Times New Roman"/>
          <w:sz w:val="20"/>
          <w:szCs w:val="20"/>
          <w:lang w:val="en-US"/>
        </w:rPr>
        <w:t>constitutional accusation; political field; legality; officials; Constitution</w:t>
      </w:r>
      <w:r w:rsidRPr="00C86005">
        <w:rPr>
          <w:rFonts w:ascii="Times New Roman" w:hAnsi="Times New Roman" w:cs="Times New Roman"/>
          <w:sz w:val="18"/>
          <w:szCs w:val="18"/>
          <w:lang w:val="en-US"/>
        </w:rPr>
        <w:t>.</w:t>
      </w:r>
    </w:p>
    <w:p w:rsidR="0017421D" w:rsidRPr="00C86005" w:rsidRDefault="0017421D" w:rsidP="0017421D">
      <w:pPr>
        <w:pStyle w:val="Prrafodelista"/>
        <w:tabs>
          <w:tab w:val="left" w:pos="1047"/>
        </w:tabs>
        <w:rPr>
          <w:rFonts w:ascii="Arial" w:hAnsi="Arial" w:cs="Arial"/>
          <w:b/>
          <w:bCs/>
          <w:sz w:val="18"/>
          <w:szCs w:val="18"/>
          <w:lang w:val="en-US"/>
        </w:rPr>
        <w:sectPr w:rsidR="0017421D" w:rsidRPr="00C86005" w:rsidSect="00C86005">
          <w:type w:val="continuous"/>
          <w:pgSz w:w="11906" w:h="16838"/>
          <w:pgMar w:top="1258" w:right="1701" w:bottom="1417" w:left="1701" w:header="708" w:footer="708" w:gutter="0"/>
          <w:cols w:space="708"/>
          <w:docGrid w:linePitch="360"/>
        </w:sectPr>
      </w:pPr>
    </w:p>
    <w:p w:rsidR="0017421D" w:rsidRPr="00C86005" w:rsidRDefault="0017421D" w:rsidP="0017421D">
      <w:pPr>
        <w:pStyle w:val="Prrafodelista"/>
        <w:tabs>
          <w:tab w:val="left" w:pos="1047"/>
        </w:tabs>
        <w:rPr>
          <w:rFonts w:ascii="Arial" w:hAnsi="Arial" w:cs="Arial"/>
          <w:b/>
          <w:bCs/>
          <w:sz w:val="18"/>
          <w:szCs w:val="18"/>
          <w:lang w:val="en-US"/>
        </w:rPr>
      </w:pPr>
    </w:p>
    <w:p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 xml:space="preserve">INTRODUCCIÓN </w:t>
      </w:r>
    </w:p>
    <w:p w:rsidR="0017421D" w:rsidRPr="00C86005" w:rsidRDefault="0017421D" w:rsidP="0017421D">
      <w:pPr>
        <w:pStyle w:val="Prrafodelista"/>
        <w:tabs>
          <w:tab w:val="left" w:pos="1047"/>
        </w:tabs>
        <w:rPr>
          <w:rFonts w:ascii="Arial" w:hAnsi="Arial" w:cs="Arial"/>
          <w:b/>
          <w:bCs/>
          <w:sz w:val="18"/>
          <w:szCs w:val="18"/>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En todo contexto social, siempre se cuenta con una estructura jerárquica de poderes, los cuales deben ser regulados a través de medios de control, por ello, cuando nos referimos al rol de funcionarios de alto rango –como el caso del Presidente de la República, los Congresistas, El Fiscal de la Nación, entre otros-, cuando se les procesa por algún delito que han cometido en el ejercicio de su cargo, llevan un procedimiento distinto que la propia Constitución Política del Perú, ha catalogado como “ante juicio o juicio político”, a través de la denominada “Acusación Constitucional”.</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El profesor Ortecho Villena (2003), precisa que los origines de esta manera de procesar a los funcionarios de más alto rango, son el denominado juicio de residencia que se estructuró en la esfera colonial, y que recaía en los virreyes, de los cuales, sin asumir que se podría discriminar o separar aquellos, debían detallar aspectos propios de su gestión.</w:t>
      </w:r>
      <w:sdt>
        <w:sdtPr>
          <w:rPr>
            <w:rFonts w:ascii="Times New Roman" w:hAnsi="Times New Roman" w:cs="Times New Roman"/>
            <w:sz w:val="20"/>
            <w:szCs w:val="20"/>
          </w:rPr>
          <w:id w:val="-1099410253"/>
          <w:citation/>
        </w:sdtPr>
        <w:sdtEndPr/>
        <w:sdtContent>
          <w:r w:rsidRPr="00C86005">
            <w:rPr>
              <w:rFonts w:ascii="Times New Roman" w:hAnsi="Times New Roman" w:cs="Times New Roman"/>
              <w:sz w:val="20"/>
              <w:szCs w:val="20"/>
            </w:rPr>
            <w:fldChar w:fldCharType="begin"/>
          </w:r>
          <w:r w:rsidRPr="00C86005">
            <w:rPr>
              <w:rFonts w:ascii="Times New Roman" w:hAnsi="Times New Roman" w:cs="Times New Roman"/>
              <w:sz w:val="20"/>
              <w:szCs w:val="20"/>
            </w:rPr>
            <w:instrText xml:space="preserve">CITATION ORT03 \p 63 \n  \y  \t  \l 10250 </w:instrText>
          </w:r>
          <w:r w:rsidRPr="00C86005">
            <w:rPr>
              <w:rFonts w:ascii="Times New Roman" w:hAnsi="Times New Roman" w:cs="Times New Roman"/>
              <w:sz w:val="20"/>
              <w:szCs w:val="20"/>
            </w:rPr>
            <w:fldChar w:fldCharType="separate"/>
          </w:r>
          <w:r w:rsidRPr="00C86005">
            <w:rPr>
              <w:rFonts w:ascii="Times New Roman" w:hAnsi="Times New Roman" w:cs="Times New Roman"/>
              <w:noProof/>
              <w:sz w:val="20"/>
              <w:szCs w:val="20"/>
            </w:rPr>
            <w:t xml:space="preserve"> (pág. 63)</w:t>
          </w:r>
          <w:r w:rsidRPr="00C86005">
            <w:rPr>
              <w:rFonts w:ascii="Times New Roman" w:hAnsi="Times New Roman" w:cs="Times New Roman"/>
              <w:sz w:val="20"/>
              <w:szCs w:val="20"/>
            </w:rPr>
            <w:fldChar w:fldCharType="end"/>
          </w:r>
        </w:sdtContent>
      </w:sdt>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 xml:space="preserve">Los criterios que se han utilizado para subsumir dentro de este tipo de procesos a los funcionarios de mayor jerarquía en el eje estatal, apuntan a que no existe uniformidad de funciones </w:t>
      </w:r>
      <w:r w:rsidR="00105597" w:rsidRPr="00C86005">
        <w:rPr>
          <w:rFonts w:ascii="Times New Roman" w:hAnsi="Times New Roman" w:cs="Times New Roman"/>
          <w:sz w:val="20"/>
          <w:szCs w:val="20"/>
        </w:rPr>
        <w:t>entre</w:t>
      </w:r>
      <w:r w:rsidR="00105597">
        <w:rPr>
          <w:rFonts w:ascii="Times New Roman" w:hAnsi="Times New Roman" w:cs="Times New Roman"/>
          <w:sz w:val="20"/>
          <w:szCs w:val="20"/>
        </w:rPr>
        <w:t xml:space="preserve"> cualquier</w:t>
      </w:r>
      <w:r w:rsidRPr="00C86005">
        <w:rPr>
          <w:rFonts w:ascii="Times New Roman" w:hAnsi="Times New Roman" w:cs="Times New Roman"/>
          <w:sz w:val="20"/>
          <w:szCs w:val="20"/>
        </w:rPr>
        <w:t xml:space="preserve"> sujeto habitante de una población,</w:t>
      </w:r>
      <w:r>
        <w:rPr>
          <w:rFonts w:ascii="Times New Roman" w:hAnsi="Times New Roman" w:cs="Times New Roman"/>
          <w:sz w:val="20"/>
          <w:szCs w:val="20"/>
        </w:rPr>
        <w:t xml:space="preserve"> </w:t>
      </w:r>
      <w:r w:rsidRPr="00C86005">
        <w:rPr>
          <w:rFonts w:ascii="Times New Roman" w:hAnsi="Times New Roman" w:cs="Times New Roman"/>
          <w:sz w:val="20"/>
          <w:szCs w:val="20"/>
        </w:rPr>
        <w:t>respecto a los que ostentan un poder, pues precisamente,</w:t>
      </w:r>
      <w:r>
        <w:rPr>
          <w:rFonts w:ascii="Times New Roman" w:hAnsi="Times New Roman" w:cs="Times New Roman"/>
          <w:sz w:val="20"/>
          <w:szCs w:val="20"/>
        </w:rPr>
        <w:t xml:space="preserve"> </w:t>
      </w:r>
      <w:r w:rsidRPr="00C86005">
        <w:rPr>
          <w:rFonts w:ascii="Times New Roman" w:hAnsi="Times New Roman" w:cs="Times New Roman"/>
          <w:sz w:val="20"/>
          <w:szCs w:val="20"/>
        </w:rPr>
        <w:t>esta jerarquía, suministra una</w:t>
      </w:r>
      <w:r>
        <w:rPr>
          <w:rFonts w:ascii="Times New Roman" w:hAnsi="Times New Roman" w:cs="Times New Roman"/>
          <w:sz w:val="20"/>
          <w:szCs w:val="20"/>
        </w:rPr>
        <w:t xml:space="preserve"> </w:t>
      </w:r>
      <w:r w:rsidRPr="00C86005">
        <w:rPr>
          <w:rFonts w:ascii="Times New Roman" w:hAnsi="Times New Roman" w:cs="Times New Roman"/>
          <w:sz w:val="20"/>
          <w:szCs w:val="20"/>
        </w:rPr>
        <w:t xml:space="preserve">explicación del sometimiento a procedimientos especiales para aquellos funcionarios. </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Para una mayor comprensión de estos sucesos, es preciso mencionar la literalidad que se expone en los artículos 99° y 100° de nuestra Carta Magna, que se señalan a continuación.</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Por un lado, el artículo 99° precisa que “Corresponde a la comisión permanente acusar ante el Congreso: Al Presidente de la República; a los representantes a Congreso; a los Ministros de Estado; a los miembros del Tribunal Consti</w:t>
      </w:r>
      <w:r w:rsidR="00105597">
        <w:rPr>
          <w:rFonts w:ascii="Times New Roman" w:hAnsi="Times New Roman" w:cs="Times New Roman"/>
          <w:sz w:val="20"/>
          <w:szCs w:val="20"/>
        </w:rPr>
        <w:t>tucional; a los miembros de la Junta Nacional de Justicia</w:t>
      </w:r>
      <w:r w:rsidRPr="00C86005">
        <w:rPr>
          <w:rFonts w:ascii="Times New Roman" w:hAnsi="Times New Roman" w:cs="Times New Roman"/>
          <w:sz w:val="20"/>
          <w:szCs w:val="20"/>
        </w:rPr>
        <w:t xml:space="preserve"> (…) por infracción de la Constitución y por todo delito que cometan en el ejercicio de sus funciones y hasta cinco años después de que hayan cesado en éstas”. </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eastAsia="Calibri" w:hAnsi="Times New Roman" w:cs="Times New Roman"/>
          <w:sz w:val="20"/>
          <w:szCs w:val="20"/>
        </w:rPr>
      </w:pPr>
      <w:r w:rsidRPr="00C86005">
        <w:rPr>
          <w:rFonts w:ascii="Times New Roman" w:eastAsia="Calibri" w:hAnsi="Times New Roman" w:cs="Times New Roman"/>
          <w:sz w:val="20"/>
          <w:szCs w:val="20"/>
        </w:rPr>
        <w:t xml:space="preserve">Por ello, sin desprendernos de la interpretación dada al artículo se hace referencia a “una infracción de la constitución” y de manera copulativa señala “y por todo delito que cometan”, nos abre una puerta exegética, en el sentido de que </w:t>
      </w:r>
      <w:r w:rsidRPr="00C86005">
        <w:rPr>
          <w:rFonts w:ascii="Times New Roman" w:eastAsia="Calibri" w:hAnsi="Times New Roman" w:cs="Times New Roman"/>
          <w:i/>
          <w:sz w:val="20"/>
          <w:szCs w:val="20"/>
        </w:rPr>
        <w:t>“hay infracciones de la Constitución que no están tipificadas en el Código Penal. Por eso, el Congreso puede suspender al alto funcionario o inhabilitarlo o destituirlo, sin deducir responsabilidad de tipo penal</w:t>
      </w:r>
      <w:r w:rsidRPr="00C86005">
        <w:rPr>
          <w:rFonts w:ascii="Times New Roman" w:eastAsia="Calibri" w:hAnsi="Times New Roman" w:cs="Times New Roman"/>
          <w:sz w:val="20"/>
          <w:szCs w:val="20"/>
        </w:rPr>
        <w:t xml:space="preserve">”. </w:t>
      </w:r>
      <w:sdt>
        <w:sdtPr>
          <w:rPr>
            <w:rFonts w:ascii="Times New Roman" w:eastAsia="Calibri" w:hAnsi="Times New Roman" w:cs="Times New Roman"/>
            <w:sz w:val="20"/>
            <w:szCs w:val="20"/>
          </w:rPr>
          <w:id w:val="-744650110"/>
          <w:citation/>
        </w:sdtPr>
        <w:sdtEndPr/>
        <w:sdtContent>
          <w:r w:rsidRPr="00C86005">
            <w:rPr>
              <w:rFonts w:ascii="Times New Roman" w:eastAsia="Calibri" w:hAnsi="Times New Roman" w:cs="Times New Roman"/>
              <w:sz w:val="20"/>
              <w:szCs w:val="20"/>
            </w:rPr>
            <w:fldChar w:fldCharType="begin"/>
          </w:r>
          <w:r w:rsidRPr="00C86005">
            <w:rPr>
              <w:rFonts w:ascii="Times New Roman" w:eastAsia="Calibri" w:hAnsi="Times New Roman" w:cs="Times New Roman"/>
              <w:sz w:val="20"/>
              <w:szCs w:val="20"/>
            </w:rPr>
            <w:instrText xml:space="preserve">CITATION CHI07 \l 10250 </w:instrText>
          </w:r>
          <w:r w:rsidRPr="00C86005">
            <w:rPr>
              <w:rFonts w:ascii="Times New Roman" w:eastAsia="Calibri" w:hAnsi="Times New Roman" w:cs="Times New Roman"/>
              <w:sz w:val="20"/>
              <w:szCs w:val="20"/>
            </w:rPr>
            <w:fldChar w:fldCharType="separate"/>
          </w:r>
          <w:r w:rsidRPr="00C86005">
            <w:rPr>
              <w:rFonts w:ascii="Times New Roman" w:eastAsia="Calibri" w:hAnsi="Times New Roman" w:cs="Times New Roman"/>
              <w:noProof/>
              <w:sz w:val="20"/>
              <w:szCs w:val="20"/>
            </w:rPr>
            <w:t>(Chrinos Soto &amp; Chirinos Soto, 2007)</w:t>
          </w:r>
          <w:r w:rsidRPr="00C86005">
            <w:rPr>
              <w:rFonts w:ascii="Times New Roman" w:eastAsia="Calibri" w:hAnsi="Times New Roman" w:cs="Times New Roman"/>
              <w:sz w:val="20"/>
              <w:szCs w:val="20"/>
            </w:rPr>
            <w:fldChar w:fldCharType="end"/>
          </w:r>
        </w:sdtContent>
      </w:sdt>
    </w:p>
    <w:p w:rsidR="0017421D" w:rsidRPr="00C86005" w:rsidRDefault="0017421D" w:rsidP="0017421D">
      <w:pPr>
        <w:pStyle w:val="Prrafodelista"/>
        <w:tabs>
          <w:tab w:val="left" w:pos="1047"/>
        </w:tabs>
        <w:ind w:left="0"/>
        <w:jc w:val="both"/>
        <w:rPr>
          <w:rFonts w:ascii="Times New Roman" w:eastAsia="Calibri"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Así mismo, el contexto del artículo 100° de la misma norma constitucional señala “Corresponde al Congreso, sin participación de la Comisión Permanente, suspender o no al funcionario acusado o inhabilitarlo para el ejercicio de la función pública hasta por diez años, o destituirlo de su función sin perjuicio de cualquiera otra responsabilidad. El acusado tiene derecho, en este trámite, a la defensa por sí mismo y con asistencia de abogado ante la Comisión Permanente y ante el Pleno del Congreso”.</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De por sí, resulta insostenible atacar la idea de que, según la literalidad del artículo 100° de la Constitución, se debe suspender o inhabilitar al funcionario por incumplimiento de su rol dentro del aparato estatal, pues, la misma debe darse, por ser un suceso de interés no sólo particular, por parte del agente jerárquico, sino además, se sumerge en la categoría de interés colectivo, en el sentido de que toda sanción ya sea a los sujetos que son subsumidos en el cuerpo jerárquico de mayor orden estatal, como cualquier otra persona, deben proporcionarles las herramientas procesales necesarias para su correcta defensa.</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Sin embargo, cuando realizamos un análisis exhaustivo de las normas referentes a los artículos 99° y 100° de nuestra Carta Magna, así como el respectivo reglamento del Congreso, donde se regulan aspectos relativos al procedimiento de estos funcionarios de alto rango estatal, se puede identificar que se puede describir un catálogo de normas insuficientes para el respeto de las garantías de los agentes que se someten a las instancias de naturaleza parlamentaria o judicial por sus propios actos.</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 xml:space="preserve">Con ello, surge la interrogante de saber si se vulnerarían garantías como ya se ha mencionado, propias del debido proceso, tutela jurisdiccional, y más aún, quebrantarían directrices que encaminan un proceso, cuales quiera que sea la naturaleza de éste, tales como el principio de legalidad, puesto que, “Si bien se debe conseguir la sanción de los altos funcionarios por los delitos cometidos en el ejercicio de sus funciones, ésta no debe materializarse a cualquier costo”. </w:t>
      </w:r>
      <w:sdt>
        <w:sdtPr>
          <w:rPr>
            <w:rFonts w:ascii="Times New Roman" w:hAnsi="Times New Roman" w:cs="Times New Roman"/>
            <w:sz w:val="20"/>
            <w:szCs w:val="20"/>
          </w:rPr>
          <w:id w:val="-1983379279"/>
          <w:citation/>
        </w:sdtPr>
        <w:sdtEndPr/>
        <w:sdtContent>
          <w:r w:rsidRPr="00C86005">
            <w:rPr>
              <w:rFonts w:ascii="Times New Roman" w:hAnsi="Times New Roman" w:cs="Times New Roman"/>
              <w:sz w:val="20"/>
              <w:szCs w:val="20"/>
            </w:rPr>
            <w:fldChar w:fldCharType="begin"/>
          </w:r>
          <w:r w:rsidRPr="00C86005">
            <w:rPr>
              <w:rFonts w:ascii="Times New Roman" w:hAnsi="Times New Roman" w:cs="Times New Roman"/>
              <w:sz w:val="20"/>
              <w:szCs w:val="20"/>
            </w:rPr>
            <w:instrText xml:space="preserve">CITATION GAR08 \t  \l 10250 </w:instrText>
          </w:r>
          <w:r w:rsidRPr="00C86005">
            <w:rPr>
              <w:rFonts w:ascii="Times New Roman" w:hAnsi="Times New Roman" w:cs="Times New Roman"/>
              <w:sz w:val="20"/>
              <w:szCs w:val="20"/>
            </w:rPr>
            <w:fldChar w:fldCharType="separate"/>
          </w:r>
          <w:r w:rsidRPr="00C86005">
            <w:rPr>
              <w:rFonts w:ascii="Times New Roman" w:hAnsi="Times New Roman" w:cs="Times New Roman"/>
              <w:noProof/>
              <w:sz w:val="20"/>
              <w:szCs w:val="20"/>
            </w:rPr>
            <w:t>(García Chávarri, 2008)</w:t>
          </w:r>
          <w:r w:rsidRPr="00C86005">
            <w:rPr>
              <w:rFonts w:ascii="Times New Roman" w:hAnsi="Times New Roman" w:cs="Times New Roman"/>
              <w:sz w:val="20"/>
              <w:szCs w:val="20"/>
            </w:rPr>
            <w:fldChar w:fldCharType="end"/>
          </w:r>
        </w:sdtContent>
      </w:sdt>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Desde la perspectiva teórica esta investigación es justificable, porque se utilizaron bases teóricas acerca de acusaciones constitucionales; ante juicio político, juicio político, así como también de las que se utilizan para las regulaciones legislativas, sobre las mismas, se logrará acoplar o complementar las bases teóricas desde varias aristas para poder limitar cualquier exceso que cometan los legisladores en la elaboración de las normas.</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En cuanto a la perspectiva práctica, esta investigación permitirá dilucidar si efectivamente se han venido respetando las garantías judiciales como el principio de legalidad a los funcionarios de más alto rango que cometen infracciones constitucionales y conductas subsumidas en tipos penales en el ejercicio de sus cargos.</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Desde la perspectiva jurídica, esta investigación va a permitir un estudio integral respecto a los artículos 99° y 100° de la Constitución Política del Perú, así como del artículo 88° y 89° del Reglamento del Congreso de la República, que nos permitirá dilucidar acerca de que, si el procedimiento establecido en dichos apartados normativos, se adecuan a las garantías judiciales que todo funcionario de alto rango que cometen infracciones o delitos en el ejercicio de sus cargos deben proporcionarles, o contrario sensu, hay afectación de sus garantías o derechos, tales como el principio de legalidad.</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La realidad problemática justificada tuvo como objetivo principal evaluar y determinar la interpretación de los artículos 99° y 100° de la Constitución y el artículo 88° y 89° del Reglamento del Congreso de la República, respecto al procedimiento al que se someten los funcionarios de más alto rango en el eje estatal por presuntas infracciones constitucionales o delitos cometidos en el ejercicio de su cargo, y si los mismos cumplen con los parámetros judiciales necesarios como el cumplimiento del principio de legalidad, para aquellos que se someten a dichos fueros.</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tabs>
          <w:tab w:val="left" w:pos="1047"/>
        </w:tabs>
        <w:ind w:left="0"/>
        <w:jc w:val="both"/>
        <w:rPr>
          <w:rFonts w:ascii="Times New Roman" w:hAnsi="Times New Roman" w:cs="Times New Roman"/>
          <w:sz w:val="20"/>
          <w:szCs w:val="20"/>
        </w:rPr>
      </w:pPr>
      <w:r w:rsidRPr="00C86005">
        <w:rPr>
          <w:rFonts w:ascii="Times New Roman" w:hAnsi="Times New Roman" w:cs="Times New Roman"/>
          <w:sz w:val="20"/>
          <w:szCs w:val="20"/>
        </w:rPr>
        <w:t>Así mismo se busca precisar las opiniones de especialistas en temas constitucionales, respecto al procedimiento al que se someten los funcionarios de más alto rango en el eje estatal por presuntas infracciones constitucionales o delitos cometidos en el ejercicio de su cargo regulados en los artículos 99° y 100° de la Constitución Política del Perú y artículo 88° y 89° del Reglamento del Congreso de la República, y la afectación a principios rectores, tales como el de legalidad.</w:t>
      </w:r>
    </w:p>
    <w:p w:rsidR="0017421D" w:rsidRPr="00C86005" w:rsidRDefault="0017421D" w:rsidP="0017421D">
      <w:pPr>
        <w:pStyle w:val="Prrafodelista"/>
        <w:tabs>
          <w:tab w:val="left" w:pos="1047"/>
        </w:tabs>
        <w:ind w:left="0"/>
        <w:jc w:val="both"/>
        <w:rPr>
          <w:rFonts w:ascii="Times New Roman" w:hAnsi="Times New Roman" w:cs="Times New Roman"/>
          <w:sz w:val="20"/>
          <w:szCs w:val="20"/>
        </w:rPr>
      </w:pPr>
    </w:p>
    <w:p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MATERIALES Y MÉTODOS</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El estudio fue de tipo no experimental y según su naturaleza tuvo un enfoque cuantitativo y por su finalidad fue aplicada al adaptar el conocimiento científico y permitir la elaboración de una propuesta con el propósito de mejorar la realidad. Se empleó un diseño longitudinal, presentándose las siguientes variables y dimensiones:</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Variable independiente: La acusación constitucional (artículos 99, 100 y 113 de la Constitución; artículos 88°, 89° del Reglamento del Congreso)</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Variable dependiente: La incidencia del procedimiento de acusación en la garantía para los altos funcionarios del artículo 99 y 100 de la constitución política del estado.</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La población estuvo compuesta por 19 resoluciones y disposiciones emanadas por las Comisiones parlamentarias, así como las emanadas por el poder Judicial y/ Tribunal Constitucional, y 12 entrevistas realzadas a especialista en derecho constitucional y parlamentario.</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La muestra fue por conveniencia y estuvo concertada en resoluciones y disposiciones emanadas por las Comisiones parlamentarias, así como las emanadas por el poder Judicial y/ Tribunal Constitucional que estén estrictamente relacionadas estrictamente con el procedimiento de acusación en la garantía para los altos funcionarios del artículo 99 y 100 de la constitución política del estado.</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Dentro de las técnicas e instrumentos para presente investigación se han utilizado la entrevista pues a través de ésta “el proceso de interacción donde la información fluye de forma asimétrica entre dos roles bien diferenciados, de los que uno pregunta y el otro responde”.</w:t>
      </w:r>
      <w:sdt>
        <w:sdtPr>
          <w:rPr>
            <w:rFonts w:ascii="Times New Roman" w:hAnsi="Times New Roman" w:cs="Times New Roman"/>
            <w:sz w:val="20"/>
            <w:szCs w:val="20"/>
          </w:rPr>
          <w:id w:val="1509637055"/>
          <w:citation/>
        </w:sdtPr>
        <w:sdtEndPr/>
        <w:sdtContent>
          <w:r w:rsidRPr="00C86005">
            <w:rPr>
              <w:rFonts w:ascii="Times New Roman" w:hAnsi="Times New Roman" w:cs="Times New Roman"/>
              <w:sz w:val="20"/>
              <w:szCs w:val="20"/>
            </w:rPr>
            <w:fldChar w:fldCharType="begin"/>
          </w:r>
          <w:r w:rsidRPr="00C86005">
            <w:rPr>
              <w:rFonts w:ascii="Times New Roman" w:hAnsi="Times New Roman" w:cs="Times New Roman"/>
              <w:sz w:val="20"/>
              <w:szCs w:val="20"/>
            </w:rPr>
            <w:instrText xml:space="preserve">CITATION PUL15 \t  \l 10250 </w:instrText>
          </w:r>
          <w:r w:rsidRPr="00C86005">
            <w:rPr>
              <w:rFonts w:ascii="Times New Roman" w:hAnsi="Times New Roman" w:cs="Times New Roman"/>
              <w:sz w:val="20"/>
              <w:szCs w:val="20"/>
            </w:rPr>
            <w:fldChar w:fldCharType="separate"/>
          </w:r>
          <w:r w:rsidRPr="00C86005">
            <w:rPr>
              <w:rFonts w:ascii="Times New Roman" w:hAnsi="Times New Roman" w:cs="Times New Roman"/>
              <w:noProof/>
              <w:sz w:val="20"/>
              <w:szCs w:val="20"/>
            </w:rPr>
            <w:t xml:space="preserve"> (Pulido Polo, 2015)</w:t>
          </w:r>
          <w:r w:rsidRPr="00C86005">
            <w:rPr>
              <w:rFonts w:ascii="Times New Roman" w:hAnsi="Times New Roman" w:cs="Times New Roman"/>
              <w:sz w:val="20"/>
              <w:szCs w:val="20"/>
            </w:rPr>
            <w:fldChar w:fldCharType="end"/>
          </w:r>
        </w:sdtContent>
      </w:sdt>
      <w:r w:rsidRPr="00C86005">
        <w:rPr>
          <w:rFonts w:ascii="Times New Roman" w:hAnsi="Times New Roman" w:cs="Times New Roman"/>
          <w:sz w:val="20"/>
          <w:szCs w:val="20"/>
        </w:rPr>
        <w:t xml:space="preserve">, se recolectó la opinión de especialistas en temas constitucionales; tales como jueces, abogados, entre otros, acerca de los procesos que se han cursado a los altos funcionarios, y si los mismos cumplían los rangos o parámetros exigidos del </w:t>
      </w:r>
      <w:r w:rsidRPr="00C86005">
        <w:rPr>
          <w:rFonts w:ascii="Times New Roman" w:hAnsi="Times New Roman" w:cs="Times New Roman"/>
          <w:sz w:val="20"/>
          <w:szCs w:val="20"/>
        </w:rPr>
        <w:lastRenderedPageBreak/>
        <w:t>principio de legalidad y otras categorías de garantías judiciales, regulados en la normativa nacional e internacional.</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Así mismo la recopilación documental, a través del instrumento de recolección de datos está orientado a crear las condiciones para la medición. Los datos son conceptos que expresan una abstracción del mundo real, de lo sensorial (…)”. </w:t>
      </w:r>
      <w:sdt>
        <w:sdtPr>
          <w:rPr>
            <w:rFonts w:ascii="Times New Roman" w:hAnsi="Times New Roman" w:cs="Times New Roman"/>
            <w:sz w:val="20"/>
            <w:szCs w:val="20"/>
          </w:rPr>
          <w:id w:val="-1045746983"/>
          <w:citation/>
        </w:sdtPr>
        <w:sdtEndPr/>
        <w:sdtContent>
          <w:r w:rsidRPr="00C86005">
            <w:rPr>
              <w:rFonts w:ascii="Times New Roman" w:hAnsi="Times New Roman" w:cs="Times New Roman"/>
              <w:sz w:val="20"/>
              <w:szCs w:val="20"/>
            </w:rPr>
            <w:fldChar w:fldCharType="begin"/>
          </w:r>
          <w:r w:rsidRPr="00C86005">
            <w:rPr>
              <w:rFonts w:ascii="Times New Roman" w:hAnsi="Times New Roman" w:cs="Times New Roman"/>
              <w:sz w:val="20"/>
              <w:szCs w:val="20"/>
            </w:rPr>
            <w:instrText xml:space="preserve">CITATION CHÁ08 \l 10250 </w:instrText>
          </w:r>
          <w:r w:rsidRPr="00C86005">
            <w:rPr>
              <w:rFonts w:ascii="Times New Roman" w:hAnsi="Times New Roman" w:cs="Times New Roman"/>
              <w:sz w:val="20"/>
              <w:szCs w:val="20"/>
            </w:rPr>
            <w:fldChar w:fldCharType="separate"/>
          </w:r>
          <w:r w:rsidRPr="00C86005">
            <w:rPr>
              <w:rFonts w:ascii="Times New Roman" w:hAnsi="Times New Roman" w:cs="Times New Roman"/>
              <w:noProof/>
              <w:sz w:val="20"/>
              <w:szCs w:val="20"/>
            </w:rPr>
            <w:t>(Chávez, 2008)</w:t>
          </w:r>
          <w:r w:rsidRPr="00C86005">
            <w:rPr>
              <w:rFonts w:ascii="Times New Roman" w:hAnsi="Times New Roman" w:cs="Times New Roman"/>
              <w:sz w:val="20"/>
              <w:szCs w:val="20"/>
            </w:rPr>
            <w:fldChar w:fldCharType="end"/>
          </w:r>
        </w:sdtContent>
      </w:sdt>
      <w:r w:rsidRPr="00C86005">
        <w:rPr>
          <w:rFonts w:ascii="Times New Roman" w:hAnsi="Times New Roman" w:cs="Times New Roman"/>
          <w:sz w:val="20"/>
          <w:szCs w:val="20"/>
        </w:rPr>
        <w:t>, permitiendo utilizar la documentación respecto a los procesos de índole parlamentario y/o jurídico político hacia los funcionarios del más alto rango, conforme nuestra Constitución Política del Perú, y los que se hayan derivado de aquella [instancias puramente parlamentarias, Hábeas corpus, Hábeas data, entre otras].</w:t>
      </w:r>
    </w:p>
    <w:p w:rsidR="0017421D"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Los datos obtenidos para el estudio de nuestra problemática, con la respectiva constatación de variables, se procesaron a nuestra consideración, utilizando los datos más relevantes que precisen los tópicos referentes a nuestra realidad problemática, depurándose a través de una serie de filtros, y descartando las publicaciones que tenían una antigüedad mayor a los 10 años, con la finalidad de recolectar la información más actual y precisa para la presente investigación.  </w:t>
      </w:r>
    </w:p>
    <w:p w:rsidR="0017421D" w:rsidRPr="00C86005" w:rsidRDefault="0017421D" w:rsidP="0017421D">
      <w:pPr>
        <w:tabs>
          <w:tab w:val="left" w:pos="1047"/>
        </w:tabs>
        <w:jc w:val="both"/>
        <w:rPr>
          <w:rFonts w:ascii="Times New Roman" w:hAnsi="Times New Roman" w:cs="Times New Roman"/>
          <w:sz w:val="20"/>
          <w:szCs w:val="20"/>
        </w:rPr>
      </w:pPr>
    </w:p>
    <w:p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 xml:space="preserve">RESULTADOS Y DISCUSIÓN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De la recolección de los datos y las entrevistas realizadas a los especialistas, se obtuvieron los resultados mostrados en las siguientes tablas:</w:t>
      </w:r>
    </w:p>
    <w:p w:rsidR="0017421D" w:rsidRPr="00C86005" w:rsidRDefault="0017421D" w:rsidP="0017421D">
      <w:pPr>
        <w:tabs>
          <w:tab w:val="left" w:pos="1047"/>
        </w:tabs>
        <w:jc w:val="both"/>
        <w:rPr>
          <w:rFonts w:ascii="Times New Roman" w:hAnsi="Times New Roman" w:cs="Times New Roman"/>
          <w:b/>
          <w:bCs/>
          <w:sz w:val="20"/>
          <w:szCs w:val="20"/>
        </w:rPr>
      </w:pPr>
      <w:r w:rsidRPr="00C86005">
        <w:rPr>
          <w:rFonts w:ascii="Times New Roman" w:hAnsi="Times New Roman" w:cs="Times New Roman"/>
          <w:b/>
          <w:bCs/>
          <w:sz w:val="20"/>
          <w:szCs w:val="20"/>
        </w:rPr>
        <w:t xml:space="preserve">Figura N° 01 </w:t>
      </w:r>
    </w:p>
    <w:p w:rsidR="0017421D" w:rsidRPr="00C86005" w:rsidRDefault="0017421D" w:rsidP="0017421D">
      <w:pPr>
        <w:tabs>
          <w:tab w:val="left" w:pos="1047"/>
        </w:tabs>
        <w:jc w:val="both"/>
        <w:rPr>
          <w:rFonts w:ascii="Times New Roman" w:hAnsi="Times New Roman" w:cs="Times New Roman"/>
          <w:i/>
          <w:iCs/>
          <w:sz w:val="20"/>
          <w:szCs w:val="20"/>
        </w:rPr>
      </w:pPr>
      <w:r w:rsidRPr="00C86005">
        <w:rPr>
          <w:rFonts w:ascii="Times New Roman" w:hAnsi="Times New Roman" w:cs="Times New Roman"/>
          <w:i/>
          <w:iCs/>
          <w:sz w:val="20"/>
          <w:szCs w:val="20"/>
        </w:rPr>
        <w:t>Interpretación de los artículos 99° y 100° de la constitución, e interpretación de los artículos 88° y 89° del reglamento del congreso</w:t>
      </w:r>
    </w:p>
    <w:tbl>
      <w:tblPr>
        <w:tblW w:w="0" w:type="auto"/>
        <w:jc w:val="center"/>
        <w:tblBorders>
          <w:top w:val="single" w:sz="24" w:space="0" w:color="44546A" w:themeColor="text2"/>
          <w:left w:val="single" w:sz="24" w:space="0" w:color="44546A" w:themeColor="text2"/>
          <w:bottom w:val="single" w:sz="24" w:space="0" w:color="44546A" w:themeColor="text2"/>
          <w:right w:val="single" w:sz="24" w:space="0" w:color="44546A" w:themeColor="text2"/>
          <w:insideH w:val="single" w:sz="24" w:space="0" w:color="44546A" w:themeColor="text2"/>
          <w:insideV w:val="single" w:sz="24" w:space="0" w:color="44546A" w:themeColor="text2"/>
        </w:tblBorders>
        <w:tblCellMar>
          <w:left w:w="70" w:type="dxa"/>
          <w:right w:w="70" w:type="dxa"/>
        </w:tblCellMar>
        <w:tblLook w:val="0000" w:firstRow="0" w:lastRow="0" w:firstColumn="0" w:lastColumn="0" w:noHBand="0" w:noVBand="0"/>
      </w:tblPr>
      <w:tblGrid>
        <w:gridCol w:w="3945"/>
        <w:gridCol w:w="4382"/>
      </w:tblGrid>
      <w:tr w:rsidR="0017421D" w:rsidRPr="003A1992" w:rsidTr="00345C2D">
        <w:trPr>
          <w:trHeight w:val="207"/>
          <w:jc w:val="center"/>
        </w:trPr>
        <w:tc>
          <w:tcPr>
            <w:tcW w:w="8327" w:type="dxa"/>
            <w:gridSpan w:val="2"/>
          </w:tcPr>
          <w:p w:rsidR="0017421D" w:rsidRPr="003A1992" w:rsidRDefault="0017421D" w:rsidP="00345C2D">
            <w:pPr>
              <w:spacing w:line="240" w:lineRule="auto"/>
              <w:jc w:val="center"/>
              <w:rPr>
                <w:rFonts w:eastAsia="Times New Roman"/>
                <w:sz w:val="16"/>
                <w:szCs w:val="18"/>
                <w:lang w:eastAsia="es-PE"/>
              </w:rPr>
            </w:pPr>
            <w:r w:rsidRPr="003A1992">
              <w:rPr>
                <w:rFonts w:ascii="Times New Roman" w:hAnsi="Times New Roman" w:cs="Times New Roman"/>
                <w:b/>
                <w:bCs/>
                <w:sz w:val="16"/>
                <w:szCs w:val="18"/>
              </w:rPr>
              <w:t xml:space="preserve"> INTERPRETACIÓN DE LOS ARTICULOS DE LA CONSTITUCIÓN</w:t>
            </w:r>
          </w:p>
        </w:tc>
      </w:tr>
      <w:tr w:rsidR="0017421D" w:rsidRPr="003A1992" w:rsidTr="00345C2D">
        <w:trPr>
          <w:trHeight w:val="259"/>
          <w:jc w:val="center"/>
        </w:trPr>
        <w:tc>
          <w:tcPr>
            <w:tcW w:w="3945"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D0CECE" w:themeFill="background2" w:themeFillShade="E6"/>
          </w:tcPr>
          <w:p w:rsidR="0017421D" w:rsidRPr="003A1992" w:rsidRDefault="0017421D" w:rsidP="00345C2D">
            <w:pPr>
              <w:pStyle w:val="Sinespaciado"/>
              <w:jc w:val="center"/>
              <w:rPr>
                <w:rFonts w:ascii="Times New Roman" w:hAnsi="Times New Roman" w:cs="Times New Roman"/>
                <w:b/>
                <w:bCs/>
                <w:sz w:val="16"/>
                <w:szCs w:val="20"/>
              </w:rPr>
            </w:pPr>
            <w:r w:rsidRPr="003A1992">
              <w:rPr>
                <w:rFonts w:ascii="Times New Roman" w:hAnsi="Times New Roman" w:cs="Times New Roman"/>
                <w:b/>
                <w:bCs/>
                <w:sz w:val="16"/>
                <w:szCs w:val="20"/>
              </w:rPr>
              <w:t>Artículo 99°</w:t>
            </w:r>
          </w:p>
          <w:p w:rsidR="0017421D" w:rsidRPr="003A1992" w:rsidRDefault="0017421D" w:rsidP="00345C2D">
            <w:pPr>
              <w:spacing w:line="240" w:lineRule="auto"/>
              <w:jc w:val="center"/>
              <w:rPr>
                <w:rFonts w:eastAsia="Times New Roman"/>
                <w:sz w:val="16"/>
                <w:lang w:eastAsia="es-PE"/>
              </w:rPr>
            </w:pPr>
            <w:r w:rsidRPr="003A1992">
              <w:rPr>
                <w:rFonts w:ascii="Times New Roman" w:hAnsi="Times New Roman" w:cs="Times New Roman"/>
                <w:b/>
                <w:bCs/>
                <w:sz w:val="16"/>
                <w:szCs w:val="20"/>
              </w:rPr>
              <w:t>(ver articulo)</w:t>
            </w:r>
          </w:p>
        </w:tc>
        <w:tc>
          <w:tcPr>
            <w:tcW w:w="4381" w:type="dxa"/>
            <w:tcBorders>
              <w:top w:val="single" w:sz="24" w:space="0" w:color="44546A" w:themeColor="text2"/>
              <w:left w:val="single" w:sz="24" w:space="0" w:color="44546A" w:themeColor="text2"/>
              <w:bottom w:val="single" w:sz="24" w:space="0" w:color="44546A" w:themeColor="text2"/>
              <w:right w:val="single" w:sz="24" w:space="0" w:color="44546A" w:themeColor="text2"/>
            </w:tcBorders>
            <w:shd w:val="clear" w:color="auto" w:fill="D0CECE" w:themeFill="background2" w:themeFillShade="E6"/>
          </w:tcPr>
          <w:p w:rsidR="0017421D" w:rsidRPr="003A1992" w:rsidRDefault="0017421D" w:rsidP="00345C2D">
            <w:pPr>
              <w:pStyle w:val="Sinespaciado"/>
              <w:jc w:val="center"/>
              <w:rPr>
                <w:rFonts w:ascii="Times New Roman" w:hAnsi="Times New Roman" w:cs="Times New Roman"/>
                <w:b/>
                <w:bCs/>
                <w:sz w:val="16"/>
                <w:szCs w:val="20"/>
              </w:rPr>
            </w:pPr>
            <w:r w:rsidRPr="003A1992">
              <w:rPr>
                <w:rFonts w:ascii="Times New Roman" w:hAnsi="Times New Roman" w:cs="Times New Roman"/>
                <w:b/>
                <w:bCs/>
                <w:sz w:val="16"/>
                <w:szCs w:val="20"/>
              </w:rPr>
              <w:t>Artículo 100°</w:t>
            </w:r>
          </w:p>
          <w:p w:rsidR="0017421D" w:rsidRPr="003A1992" w:rsidRDefault="0017421D" w:rsidP="00345C2D">
            <w:pPr>
              <w:spacing w:line="240" w:lineRule="auto"/>
              <w:jc w:val="center"/>
              <w:rPr>
                <w:rFonts w:eastAsia="Times New Roman"/>
                <w:sz w:val="16"/>
                <w:lang w:eastAsia="es-PE"/>
              </w:rPr>
            </w:pPr>
            <w:r w:rsidRPr="003A1992">
              <w:rPr>
                <w:rFonts w:ascii="Times New Roman" w:hAnsi="Times New Roman" w:cs="Times New Roman"/>
                <w:b/>
                <w:bCs/>
                <w:sz w:val="16"/>
                <w:szCs w:val="20"/>
              </w:rPr>
              <w:t>(ver articulo)</w:t>
            </w:r>
          </w:p>
        </w:tc>
      </w:tr>
      <w:tr w:rsidR="0017421D" w:rsidRPr="003A1992" w:rsidTr="00345C2D">
        <w:trPr>
          <w:trHeight w:val="344"/>
          <w:jc w:val="center"/>
        </w:trPr>
        <w:tc>
          <w:tcPr>
            <w:tcW w:w="3945" w:type="dxa"/>
            <w:tcBorders>
              <w:top w:val="single" w:sz="24" w:space="0" w:color="44546A" w:themeColor="text2"/>
              <w:left w:val="single" w:sz="24" w:space="0" w:color="44546A" w:themeColor="text2"/>
              <w:bottom w:val="single" w:sz="24" w:space="0" w:color="44546A" w:themeColor="text2"/>
              <w:right w:val="single" w:sz="24" w:space="0" w:color="44546A" w:themeColor="text2"/>
            </w:tcBorders>
          </w:tcPr>
          <w:p w:rsidR="0017421D" w:rsidRPr="003A1992" w:rsidRDefault="0017421D" w:rsidP="00345C2D">
            <w:pPr>
              <w:spacing w:line="240" w:lineRule="auto"/>
              <w:rPr>
                <w:rFonts w:eastAsia="Times New Roman"/>
                <w:sz w:val="16"/>
                <w:lang w:eastAsia="es-PE"/>
              </w:rPr>
            </w:pPr>
            <w:r w:rsidRPr="003A1992">
              <w:rPr>
                <w:rFonts w:ascii="Times New Roman" w:hAnsi="Times New Roman" w:cs="Times New Roman"/>
                <w:sz w:val="16"/>
                <w:szCs w:val="20"/>
                <w:lang w:val="es-MX"/>
              </w:rPr>
              <w:t>Se identifica a los funcionarios o exfuncionario que podrán ser sometidos a la acusación constitucional.</w:t>
            </w:r>
          </w:p>
        </w:tc>
        <w:tc>
          <w:tcPr>
            <w:tcW w:w="4381" w:type="dxa"/>
            <w:tcBorders>
              <w:top w:val="single" w:sz="24" w:space="0" w:color="44546A" w:themeColor="text2"/>
              <w:left w:val="single" w:sz="24" w:space="0" w:color="44546A" w:themeColor="text2"/>
              <w:bottom w:val="single" w:sz="24" w:space="0" w:color="44546A" w:themeColor="text2"/>
              <w:right w:val="single" w:sz="24" w:space="0" w:color="44546A" w:themeColor="text2"/>
            </w:tcBorders>
          </w:tcPr>
          <w:p w:rsidR="0017421D" w:rsidRPr="003A1992" w:rsidRDefault="0017421D" w:rsidP="00345C2D">
            <w:pPr>
              <w:spacing w:line="240" w:lineRule="auto"/>
              <w:rPr>
                <w:rFonts w:eastAsia="Times New Roman"/>
                <w:sz w:val="16"/>
                <w:lang w:eastAsia="es-PE"/>
              </w:rPr>
            </w:pPr>
            <w:r w:rsidRPr="003A1992">
              <w:rPr>
                <w:rFonts w:ascii="Times New Roman" w:hAnsi="Times New Roman" w:cs="Times New Roman"/>
                <w:sz w:val="16"/>
                <w:szCs w:val="20"/>
                <w:lang w:val="es-MX"/>
              </w:rPr>
              <w:t>Se regula la función de control político, donde cualquier acción de los funcionarios de más alto rango, pueden recaer en investigación, a través del antejuicio político.</w:t>
            </w:r>
          </w:p>
        </w:tc>
      </w:tr>
      <w:tr w:rsidR="0017421D" w:rsidRPr="003A1992" w:rsidTr="00345C2D">
        <w:trPr>
          <w:trHeight w:val="188"/>
          <w:jc w:val="center"/>
        </w:trPr>
        <w:tc>
          <w:tcPr>
            <w:tcW w:w="8327" w:type="dxa"/>
            <w:gridSpan w:val="2"/>
          </w:tcPr>
          <w:p w:rsidR="0017421D" w:rsidRPr="003A1992" w:rsidRDefault="0017421D" w:rsidP="00345C2D">
            <w:pPr>
              <w:spacing w:line="240" w:lineRule="auto"/>
              <w:jc w:val="center"/>
              <w:rPr>
                <w:rFonts w:eastAsia="Times New Roman"/>
                <w:sz w:val="16"/>
                <w:lang w:eastAsia="es-PE"/>
              </w:rPr>
            </w:pPr>
            <w:r w:rsidRPr="003A1992">
              <w:rPr>
                <w:rFonts w:ascii="Times New Roman" w:hAnsi="Times New Roman" w:cs="Times New Roman"/>
                <w:b/>
                <w:bCs/>
                <w:sz w:val="16"/>
                <w:szCs w:val="18"/>
              </w:rPr>
              <w:t>INTERPRETACIÓN DE LOS ARTICULOS DEL REGLAMENTO DEL CONGRESO</w:t>
            </w:r>
          </w:p>
        </w:tc>
      </w:tr>
      <w:tr w:rsidR="0017421D" w:rsidRPr="003A1992" w:rsidTr="00345C2D">
        <w:trPr>
          <w:trHeight w:val="181"/>
          <w:jc w:val="center"/>
        </w:trPr>
        <w:tc>
          <w:tcPr>
            <w:tcW w:w="3945" w:type="dxa"/>
            <w:shd w:val="clear" w:color="auto" w:fill="D0CECE" w:themeFill="background2" w:themeFillShade="E6"/>
          </w:tcPr>
          <w:p w:rsidR="0017421D" w:rsidRPr="003A1992" w:rsidRDefault="0017421D" w:rsidP="00345C2D">
            <w:pPr>
              <w:pStyle w:val="Sinespaciado"/>
              <w:spacing w:line="276" w:lineRule="auto"/>
              <w:jc w:val="center"/>
              <w:rPr>
                <w:rFonts w:ascii="Times New Roman" w:hAnsi="Times New Roman" w:cs="Times New Roman"/>
                <w:b/>
                <w:bCs/>
                <w:sz w:val="16"/>
                <w:szCs w:val="20"/>
              </w:rPr>
            </w:pPr>
            <w:r w:rsidRPr="003A1992">
              <w:rPr>
                <w:rFonts w:ascii="Times New Roman" w:hAnsi="Times New Roman" w:cs="Times New Roman"/>
                <w:b/>
                <w:bCs/>
                <w:sz w:val="16"/>
                <w:szCs w:val="20"/>
              </w:rPr>
              <w:t>Artículo 88°</w:t>
            </w:r>
          </w:p>
          <w:p w:rsidR="0017421D" w:rsidRPr="003A1992" w:rsidRDefault="0017421D" w:rsidP="00345C2D">
            <w:pPr>
              <w:spacing w:line="240" w:lineRule="auto"/>
              <w:jc w:val="center"/>
              <w:rPr>
                <w:rFonts w:eastAsia="Times New Roman"/>
                <w:sz w:val="16"/>
                <w:lang w:eastAsia="es-PE"/>
              </w:rPr>
            </w:pPr>
            <w:r w:rsidRPr="003A1992">
              <w:rPr>
                <w:rFonts w:ascii="Times New Roman" w:hAnsi="Times New Roman" w:cs="Times New Roman"/>
                <w:b/>
                <w:bCs/>
                <w:sz w:val="16"/>
                <w:szCs w:val="20"/>
              </w:rPr>
              <w:t>(ver articulo)</w:t>
            </w:r>
          </w:p>
        </w:tc>
        <w:tc>
          <w:tcPr>
            <w:tcW w:w="4381" w:type="dxa"/>
            <w:shd w:val="clear" w:color="auto" w:fill="D0CECE" w:themeFill="background2" w:themeFillShade="E6"/>
          </w:tcPr>
          <w:p w:rsidR="0017421D" w:rsidRPr="003A1992" w:rsidRDefault="0017421D" w:rsidP="00345C2D">
            <w:pPr>
              <w:pStyle w:val="Sinespaciado"/>
              <w:spacing w:line="276" w:lineRule="auto"/>
              <w:jc w:val="center"/>
              <w:rPr>
                <w:rFonts w:ascii="Times New Roman" w:hAnsi="Times New Roman" w:cs="Times New Roman"/>
                <w:b/>
                <w:bCs/>
                <w:sz w:val="16"/>
                <w:szCs w:val="20"/>
              </w:rPr>
            </w:pPr>
            <w:r w:rsidRPr="003A1992">
              <w:rPr>
                <w:rFonts w:ascii="Times New Roman" w:hAnsi="Times New Roman" w:cs="Times New Roman"/>
                <w:b/>
                <w:bCs/>
                <w:sz w:val="16"/>
                <w:szCs w:val="20"/>
              </w:rPr>
              <w:t>Artículo 89°</w:t>
            </w:r>
          </w:p>
          <w:p w:rsidR="0017421D" w:rsidRPr="003A1992" w:rsidRDefault="0017421D" w:rsidP="00345C2D">
            <w:pPr>
              <w:spacing w:line="240" w:lineRule="auto"/>
              <w:jc w:val="center"/>
              <w:rPr>
                <w:rFonts w:eastAsia="Times New Roman"/>
                <w:sz w:val="16"/>
                <w:lang w:eastAsia="es-PE"/>
              </w:rPr>
            </w:pPr>
            <w:r w:rsidRPr="003A1992">
              <w:rPr>
                <w:rFonts w:ascii="Times New Roman" w:hAnsi="Times New Roman" w:cs="Times New Roman"/>
                <w:b/>
                <w:bCs/>
                <w:sz w:val="16"/>
                <w:szCs w:val="20"/>
              </w:rPr>
              <w:t>(ver articulo)</w:t>
            </w:r>
          </w:p>
        </w:tc>
      </w:tr>
      <w:tr w:rsidR="0017421D" w:rsidRPr="003A1992" w:rsidTr="00345C2D">
        <w:trPr>
          <w:trHeight w:val="181"/>
          <w:jc w:val="center"/>
        </w:trPr>
        <w:tc>
          <w:tcPr>
            <w:tcW w:w="3945" w:type="dxa"/>
          </w:tcPr>
          <w:p w:rsidR="0017421D" w:rsidRPr="003A1992" w:rsidRDefault="0017421D" w:rsidP="00345C2D">
            <w:pPr>
              <w:spacing w:line="240" w:lineRule="auto"/>
              <w:rPr>
                <w:rFonts w:eastAsia="Times New Roman"/>
                <w:sz w:val="16"/>
                <w:lang w:eastAsia="es-PE"/>
              </w:rPr>
            </w:pPr>
            <w:r w:rsidRPr="003A1992">
              <w:rPr>
                <w:rFonts w:ascii="Times New Roman" w:hAnsi="Times New Roman" w:cs="Times New Roman"/>
                <w:sz w:val="16"/>
                <w:szCs w:val="20"/>
                <w:lang w:val="es-MX"/>
              </w:rPr>
              <w:t xml:space="preserve">La función de control político del Congreso comprenderá el debate e investigación de las acciones cometidas por los altos funcionarios para proceder a levantar del fuero de protección y ser procesado por la comisión de delitos cometidos en el ejercicio de sus funciones. </w:t>
            </w:r>
          </w:p>
        </w:tc>
        <w:tc>
          <w:tcPr>
            <w:tcW w:w="4381" w:type="dxa"/>
          </w:tcPr>
          <w:p w:rsidR="0017421D" w:rsidRPr="003A1992" w:rsidRDefault="0017421D" w:rsidP="00345C2D">
            <w:pPr>
              <w:spacing w:line="240" w:lineRule="auto"/>
              <w:rPr>
                <w:rFonts w:eastAsia="Times New Roman"/>
                <w:sz w:val="16"/>
                <w:lang w:eastAsia="es-PE"/>
              </w:rPr>
            </w:pPr>
            <w:r w:rsidRPr="003A1992">
              <w:rPr>
                <w:rFonts w:ascii="Times New Roman" w:hAnsi="Times New Roman" w:cs="Times New Roman"/>
                <w:sz w:val="16"/>
                <w:szCs w:val="20"/>
                <w:lang w:val="es-MX"/>
              </w:rPr>
              <w:t>El antejuicio es la antesala del juicio político, donde el congreso decidirá la responsabilidad jurídica de los altos funcionarios, permitiendo se inicie una investigación respecto a la infracción del supuesto delito cometido en su función.</w:t>
            </w:r>
          </w:p>
        </w:tc>
      </w:tr>
    </w:tbl>
    <w:p w:rsidR="0017421D" w:rsidRPr="00C86005" w:rsidRDefault="0017421D" w:rsidP="0017421D">
      <w:pPr>
        <w:tabs>
          <w:tab w:val="left" w:pos="1047"/>
        </w:tabs>
        <w:ind w:left="284" w:hanging="284"/>
        <w:jc w:val="both"/>
        <w:rPr>
          <w:rFonts w:ascii="Times New Roman" w:hAnsi="Times New Roman" w:cs="Times New Roman"/>
          <w:i/>
          <w:iCs/>
          <w:sz w:val="20"/>
          <w:szCs w:val="20"/>
        </w:rPr>
      </w:pPr>
      <w:r w:rsidRPr="00C86005">
        <w:rPr>
          <w:rFonts w:ascii="Times New Roman" w:hAnsi="Times New Roman" w:cs="Times New Roman"/>
          <w:i/>
          <w:iCs/>
          <w:sz w:val="20"/>
          <w:szCs w:val="20"/>
        </w:rPr>
        <w:t xml:space="preserve">     Nota: Se describen el análisis de los artículos que delimitan la denuncia constitucional y sus características.</w:t>
      </w:r>
    </w:p>
    <w:p w:rsidR="0017421D" w:rsidRPr="00C86005" w:rsidRDefault="0017421D" w:rsidP="0017421D">
      <w:pPr>
        <w:tabs>
          <w:tab w:val="left" w:pos="1047"/>
        </w:tabs>
        <w:jc w:val="both"/>
        <w:rPr>
          <w:rFonts w:ascii="Times New Roman" w:hAnsi="Times New Roman" w:cs="Times New Roman"/>
          <w:b/>
          <w:bCs/>
          <w:sz w:val="20"/>
          <w:szCs w:val="20"/>
        </w:rPr>
      </w:pPr>
    </w:p>
    <w:p w:rsidR="0017421D" w:rsidRPr="00C86005" w:rsidRDefault="0017421D" w:rsidP="0017421D">
      <w:pPr>
        <w:tabs>
          <w:tab w:val="left" w:pos="1047"/>
        </w:tabs>
        <w:jc w:val="both"/>
        <w:rPr>
          <w:rFonts w:ascii="Times New Roman" w:hAnsi="Times New Roman" w:cs="Times New Roman"/>
          <w:b/>
          <w:bCs/>
          <w:sz w:val="20"/>
          <w:szCs w:val="20"/>
        </w:rPr>
      </w:pPr>
      <w:r w:rsidRPr="00C86005">
        <w:rPr>
          <w:rFonts w:ascii="Times New Roman" w:hAnsi="Times New Roman" w:cs="Times New Roman"/>
          <w:b/>
          <w:bCs/>
          <w:sz w:val="20"/>
          <w:szCs w:val="20"/>
        </w:rPr>
        <w:t>Figura N°02</w:t>
      </w:r>
    </w:p>
    <w:p w:rsidR="0017421D" w:rsidRPr="00C86005" w:rsidRDefault="0017421D" w:rsidP="0017421D">
      <w:pPr>
        <w:pStyle w:val="Sinespaciado"/>
        <w:rPr>
          <w:rFonts w:ascii="Times New Roman" w:hAnsi="Times New Roman" w:cs="Times New Roman"/>
          <w:i/>
          <w:iCs/>
          <w:sz w:val="20"/>
          <w:szCs w:val="20"/>
        </w:rPr>
      </w:pPr>
      <w:r w:rsidRPr="00C86005">
        <w:rPr>
          <w:rFonts w:ascii="Times New Roman" w:hAnsi="Times New Roman" w:cs="Times New Roman"/>
          <w:i/>
          <w:iCs/>
          <w:sz w:val="20"/>
          <w:szCs w:val="20"/>
        </w:rPr>
        <w:t>Doctrina nacional sobre procedimiento de</w:t>
      </w:r>
    </w:p>
    <w:p w:rsidR="0017421D" w:rsidRPr="00C86005" w:rsidRDefault="0017421D" w:rsidP="0017421D">
      <w:pPr>
        <w:pStyle w:val="Sinespaciado"/>
        <w:rPr>
          <w:rFonts w:ascii="Times New Roman" w:hAnsi="Times New Roman" w:cs="Times New Roman"/>
          <w:i/>
          <w:iCs/>
          <w:sz w:val="20"/>
          <w:szCs w:val="20"/>
        </w:rPr>
      </w:pPr>
      <w:r w:rsidRPr="00C86005">
        <w:rPr>
          <w:rFonts w:ascii="Times New Roman" w:hAnsi="Times New Roman" w:cs="Times New Roman"/>
          <w:i/>
          <w:iCs/>
          <w:sz w:val="20"/>
          <w:szCs w:val="20"/>
        </w:rPr>
        <w:t>Funcionarios</w:t>
      </w:r>
    </w:p>
    <w:p w:rsidR="0017421D" w:rsidRPr="00C86005" w:rsidRDefault="0017421D" w:rsidP="0017421D">
      <w:pPr>
        <w:pStyle w:val="Sinespaciado"/>
        <w:rPr>
          <w:noProof/>
          <w:lang w:eastAsia="es-PE"/>
        </w:rPr>
      </w:pPr>
      <w:r w:rsidRPr="00C86005">
        <w:rPr>
          <w:rFonts w:ascii="Times New Roman" w:hAnsi="Times New Roman" w:cs="Times New Roman"/>
          <w:sz w:val="20"/>
          <w:szCs w:val="20"/>
        </w:rPr>
        <w:t xml:space="preserve">          </w:t>
      </w:r>
      <w:r w:rsidRPr="00C86005">
        <w:rPr>
          <w:noProof/>
          <w:lang w:eastAsia="es-PE"/>
        </w:rPr>
        <w:t xml:space="preserve">          </w:t>
      </w:r>
    </w:p>
    <w:p w:rsidR="0017421D" w:rsidRPr="00C86005" w:rsidRDefault="0017421D" w:rsidP="0017421D">
      <w:pPr>
        <w:pStyle w:val="Sinespaciado"/>
        <w:jc w:val="center"/>
        <w:rPr>
          <w:rFonts w:ascii="Times New Roman" w:hAnsi="Times New Roman" w:cs="Times New Roman"/>
          <w:sz w:val="20"/>
          <w:szCs w:val="20"/>
        </w:rPr>
      </w:pPr>
      <w:r w:rsidRPr="00C86005">
        <w:rPr>
          <w:rFonts w:ascii="Arial" w:eastAsia="Calibri" w:hAnsi="Arial" w:cs="Arial"/>
          <w:b/>
          <w:bCs/>
          <w:noProof/>
          <w:lang w:eastAsia="es-PE"/>
        </w:rPr>
        <w:lastRenderedPageBreak/>
        <w:drawing>
          <wp:inline distT="0" distB="0" distL="0" distR="0" wp14:anchorId="3B4D7E6D" wp14:editId="26F7FD9B">
            <wp:extent cx="3983421" cy="3079115"/>
            <wp:effectExtent l="0" t="19050" r="74295" b="2603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7421D" w:rsidRPr="00C86005" w:rsidRDefault="0017421D" w:rsidP="0017421D">
      <w:pPr>
        <w:pStyle w:val="Sinespaciado"/>
        <w:ind w:left="142"/>
        <w:jc w:val="both"/>
        <w:rPr>
          <w:rFonts w:ascii="Times New Roman" w:hAnsi="Times New Roman" w:cs="Times New Roman"/>
          <w:i/>
          <w:iCs/>
          <w:sz w:val="20"/>
          <w:szCs w:val="20"/>
        </w:rPr>
      </w:pPr>
    </w:p>
    <w:p w:rsidR="0017421D" w:rsidRPr="00C86005" w:rsidRDefault="0017421D" w:rsidP="0017421D">
      <w:pPr>
        <w:pStyle w:val="Sinespaciado"/>
        <w:ind w:left="142"/>
        <w:jc w:val="both"/>
        <w:rPr>
          <w:rFonts w:ascii="Times New Roman" w:hAnsi="Times New Roman" w:cs="Times New Roman"/>
          <w:i/>
          <w:iCs/>
          <w:sz w:val="20"/>
          <w:szCs w:val="20"/>
        </w:rPr>
      </w:pPr>
      <w:r w:rsidRPr="00C86005">
        <w:rPr>
          <w:rFonts w:ascii="Times New Roman" w:hAnsi="Times New Roman" w:cs="Times New Roman"/>
          <w:i/>
          <w:iCs/>
          <w:sz w:val="20"/>
          <w:szCs w:val="20"/>
        </w:rPr>
        <w:t>Nota: Se mencionas las posturas que se discuten en la doctrina nacional, relacionado a la acusación constitucional.</w:t>
      </w:r>
    </w:p>
    <w:p w:rsidR="0017421D" w:rsidRPr="00C86005" w:rsidRDefault="0017421D" w:rsidP="0017421D">
      <w:pPr>
        <w:tabs>
          <w:tab w:val="left" w:pos="1047"/>
        </w:tabs>
        <w:jc w:val="both"/>
        <w:rPr>
          <w:rFonts w:ascii="Times New Roman" w:hAnsi="Times New Roman" w:cs="Times New Roman"/>
          <w:b/>
          <w:bCs/>
          <w:sz w:val="20"/>
          <w:szCs w:val="20"/>
        </w:rPr>
      </w:pPr>
      <w:r w:rsidRPr="00C86005">
        <w:rPr>
          <w:rFonts w:ascii="Times New Roman" w:hAnsi="Times New Roman" w:cs="Times New Roman"/>
          <w:b/>
          <w:bCs/>
          <w:sz w:val="20"/>
          <w:szCs w:val="20"/>
        </w:rPr>
        <w:t>Figura N°03</w:t>
      </w:r>
    </w:p>
    <w:p w:rsidR="0017421D" w:rsidRPr="00C86005" w:rsidRDefault="0017421D" w:rsidP="0017421D">
      <w:pPr>
        <w:tabs>
          <w:tab w:val="left" w:pos="1047"/>
        </w:tabs>
        <w:jc w:val="both"/>
        <w:rPr>
          <w:rFonts w:ascii="Times New Roman" w:hAnsi="Times New Roman" w:cs="Times New Roman"/>
          <w:i/>
          <w:iCs/>
          <w:sz w:val="20"/>
          <w:szCs w:val="20"/>
        </w:rPr>
      </w:pPr>
      <w:r w:rsidRPr="00C86005">
        <w:rPr>
          <w:rFonts w:ascii="Times New Roman" w:hAnsi="Times New Roman" w:cs="Times New Roman"/>
          <w:i/>
          <w:iCs/>
          <w:sz w:val="20"/>
          <w:szCs w:val="20"/>
        </w:rPr>
        <w:t>Jurisprudencia relevante sobre procedimiento de funcionario de alto rango</w:t>
      </w:r>
    </w:p>
    <w:p w:rsidR="0017421D" w:rsidRPr="00C86005" w:rsidRDefault="0017421D" w:rsidP="0017421D">
      <w:pPr>
        <w:tabs>
          <w:tab w:val="left" w:pos="1047"/>
        </w:tabs>
        <w:jc w:val="center"/>
        <w:rPr>
          <w:rFonts w:ascii="Times New Roman" w:hAnsi="Times New Roman" w:cs="Times New Roman"/>
          <w:noProof/>
          <w:sz w:val="20"/>
          <w:szCs w:val="20"/>
        </w:rPr>
      </w:pPr>
      <w:r w:rsidRPr="00C86005">
        <w:rPr>
          <w:rFonts w:ascii="Times New Roman" w:hAnsi="Times New Roman" w:cs="Times New Roman"/>
          <w:noProof/>
          <w:sz w:val="20"/>
          <w:szCs w:val="20"/>
          <w:lang w:eastAsia="es-PE"/>
        </w:rPr>
        <w:drawing>
          <wp:inline distT="0" distB="0" distL="0" distR="0" wp14:anchorId="12C8ED44" wp14:editId="414307E5">
            <wp:extent cx="2445026" cy="2633869"/>
            <wp:effectExtent l="0" t="19050" r="0" b="1460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7421D" w:rsidRPr="00C86005" w:rsidRDefault="0017421D" w:rsidP="0017421D">
      <w:pPr>
        <w:pStyle w:val="Sinespaciado"/>
        <w:jc w:val="both"/>
        <w:rPr>
          <w:rFonts w:ascii="Times New Roman" w:hAnsi="Times New Roman" w:cs="Times New Roman"/>
          <w:i/>
          <w:iCs/>
          <w:noProof/>
          <w:sz w:val="20"/>
          <w:szCs w:val="20"/>
        </w:rPr>
      </w:pPr>
    </w:p>
    <w:p w:rsidR="0017421D" w:rsidRDefault="0017421D" w:rsidP="0017421D">
      <w:pPr>
        <w:pStyle w:val="Sinespaciado"/>
        <w:jc w:val="both"/>
        <w:rPr>
          <w:rFonts w:ascii="Times New Roman" w:hAnsi="Times New Roman" w:cs="Times New Roman"/>
          <w:i/>
          <w:iCs/>
          <w:noProof/>
          <w:sz w:val="20"/>
          <w:szCs w:val="20"/>
        </w:rPr>
      </w:pPr>
      <w:r w:rsidRPr="00C86005">
        <w:rPr>
          <w:rFonts w:ascii="Times New Roman" w:hAnsi="Times New Roman" w:cs="Times New Roman"/>
          <w:i/>
          <w:iCs/>
          <w:noProof/>
          <w:sz w:val="20"/>
          <w:szCs w:val="20"/>
        </w:rPr>
        <w:t>Nota: Se identifican los expedientes que han</w:t>
      </w:r>
      <w:r>
        <w:rPr>
          <w:rFonts w:ascii="Times New Roman" w:hAnsi="Times New Roman" w:cs="Times New Roman"/>
          <w:i/>
          <w:iCs/>
          <w:noProof/>
          <w:sz w:val="20"/>
          <w:szCs w:val="20"/>
        </w:rPr>
        <w:t xml:space="preserve"> </w:t>
      </w:r>
      <w:r w:rsidRPr="00C86005">
        <w:rPr>
          <w:rFonts w:ascii="Times New Roman" w:hAnsi="Times New Roman" w:cs="Times New Roman"/>
          <w:i/>
          <w:iCs/>
          <w:noProof/>
          <w:sz w:val="20"/>
          <w:szCs w:val="20"/>
        </w:rPr>
        <w:t>servido como jurisprudencia nacional para</w:t>
      </w:r>
      <w:r>
        <w:rPr>
          <w:rFonts w:ascii="Times New Roman" w:hAnsi="Times New Roman" w:cs="Times New Roman"/>
          <w:i/>
          <w:iCs/>
          <w:noProof/>
          <w:sz w:val="20"/>
          <w:szCs w:val="20"/>
        </w:rPr>
        <w:t xml:space="preserve"> </w:t>
      </w:r>
      <w:r w:rsidRPr="00C86005">
        <w:rPr>
          <w:rFonts w:ascii="Times New Roman" w:hAnsi="Times New Roman" w:cs="Times New Roman"/>
          <w:i/>
          <w:iCs/>
          <w:noProof/>
          <w:sz w:val="20"/>
          <w:szCs w:val="20"/>
        </w:rPr>
        <w:t>dilucidar los alcances que tiene la acusación constitucional (ya sea el antejuicio y el juicio</w:t>
      </w:r>
      <w:r>
        <w:rPr>
          <w:rFonts w:ascii="Times New Roman" w:hAnsi="Times New Roman" w:cs="Times New Roman"/>
          <w:i/>
          <w:iCs/>
          <w:noProof/>
          <w:sz w:val="20"/>
          <w:szCs w:val="20"/>
        </w:rPr>
        <w:t xml:space="preserve"> </w:t>
      </w:r>
      <w:r w:rsidRPr="00C86005">
        <w:rPr>
          <w:rFonts w:ascii="Times New Roman" w:hAnsi="Times New Roman" w:cs="Times New Roman"/>
          <w:i/>
          <w:iCs/>
          <w:noProof/>
          <w:sz w:val="20"/>
          <w:szCs w:val="20"/>
        </w:rPr>
        <w:t>político).</w:t>
      </w:r>
    </w:p>
    <w:p w:rsidR="0017421D" w:rsidRDefault="0017421D" w:rsidP="0017421D">
      <w:pPr>
        <w:pStyle w:val="Sinespaciado"/>
        <w:jc w:val="both"/>
        <w:rPr>
          <w:rFonts w:ascii="Times New Roman" w:hAnsi="Times New Roman" w:cs="Times New Roman"/>
          <w:i/>
          <w:iCs/>
          <w:noProof/>
          <w:sz w:val="20"/>
          <w:szCs w:val="20"/>
        </w:rPr>
      </w:pPr>
    </w:p>
    <w:p w:rsidR="0017421D" w:rsidRPr="00C86005" w:rsidRDefault="0017421D" w:rsidP="0017421D">
      <w:pPr>
        <w:pStyle w:val="Sinespaciado"/>
        <w:jc w:val="both"/>
        <w:rPr>
          <w:rFonts w:ascii="Times New Roman" w:hAnsi="Times New Roman" w:cs="Times New Roman"/>
          <w:i/>
          <w:iCs/>
          <w:noProof/>
          <w:sz w:val="20"/>
          <w:szCs w:val="20"/>
        </w:rPr>
      </w:pPr>
    </w:p>
    <w:p w:rsidR="0017421D" w:rsidRPr="00C86005" w:rsidRDefault="0017421D" w:rsidP="0017421D">
      <w:pPr>
        <w:tabs>
          <w:tab w:val="left" w:pos="1047"/>
        </w:tabs>
        <w:jc w:val="both"/>
        <w:rPr>
          <w:rFonts w:ascii="Times New Roman" w:hAnsi="Times New Roman" w:cs="Times New Roman"/>
          <w:b/>
          <w:bCs/>
          <w:noProof/>
          <w:sz w:val="20"/>
          <w:szCs w:val="20"/>
        </w:rPr>
      </w:pPr>
      <w:r w:rsidRPr="00C86005">
        <w:rPr>
          <w:rFonts w:ascii="Times New Roman" w:hAnsi="Times New Roman" w:cs="Times New Roman"/>
          <w:b/>
          <w:bCs/>
          <w:noProof/>
          <w:sz w:val="20"/>
          <w:szCs w:val="20"/>
        </w:rPr>
        <w:t>Figura N°04</w:t>
      </w:r>
    </w:p>
    <w:p w:rsidR="0017421D" w:rsidRPr="00C86005" w:rsidRDefault="0017421D" w:rsidP="0017421D">
      <w:pPr>
        <w:tabs>
          <w:tab w:val="left" w:pos="1047"/>
        </w:tabs>
        <w:jc w:val="both"/>
        <w:rPr>
          <w:rFonts w:ascii="Times New Roman" w:hAnsi="Times New Roman" w:cs="Times New Roman"/>
          <w:i/>
          <w:iCs/>
          <w:noProof/>
          <w:sz w:val="20"/>
          <w:szCs w:val="20"/>
        </w:rPr>
      </w:pPr>
      <w:r w:rsidRPr="00C86005">
        <w:rPr>
          <w:rFonts w:ascii="Times New Roman" w:hAnsi="Times New Roman" w:cs="Times New Roman"/>
          <w:i/>
          <w:iCs/>
          <w:noProof/>
          <w:sz w:val="20"/>
          <w:szCs w:val="20"/>
        </w:rPr>
        <w:t>Casos relevantes sobre procedimiento defuncionario de alto rango</w:t>
      </w:r>
    </w:p>
    <w:p w:rsidR="0017421D" w:rsidRPr="00C86005" w:rsidRDefault="0017421D" w:rsidP="0017421D">
      <w:pPr>
        <w:tabs>
          <w:tab w:val="left" w:pos="1047"/>
        </w:tabs>
        <w:jc w:val="center"/>
        <w:rPr>
          <w:rFonts w:ascii="Times New Roman" w:hAnsi="Times New Roman" w:cs="Times New Roman"/>
          <w:sz w:val="20"/>
          <w:szCs w:val="20"/>
        </w:rPr>
      </w:pPr>
      <w:r w:rsidRPr="00C86005">
        <w:rPr>
          <w:rFonts w:ascii="Times New Roman" w:hAnsi="Times New Roman" w:cs="Times New Roman"/>
          <w:noProof/>
          <w:sz w:val="20"/>
          <w:szCs w:val="20"/>
          <w:lang w:eastAsia="es-PE"/>
        </w:rPr>
        <w:lastRenderedPageBreak/>
        <w:drawing>
          <wp:inline distT="0" distB="0" distL="0" distR="0" wp14:anchorId="4392ACE4" wp14:editId="6CFF725A">
            <wp:extent cx="2711669" cy="3888828"/>
            <wp:effectExtent l="0" t="0" r="0" b="1651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7421D" w:rsidRPr="00C86005" w:rsidRDefault="0017421D" w:rsidP="0017421D">
      <w:pPr>
        <w:pStyle w:val="Sinespaciado"/>
        <w:jc w:val="both"/>
        <w:rPr>
          <w:rFonts w:ascii="Times New Roman" w:hAnsi="Times New Roman" w:cs="Times New Roman"/>
          <w:i/>
          <w:iCs/>
          <w:sz w:val="20"/>
          <w:szCs w:val="20"/>
        </w:rPr>
      </w:pPr>
      <w:r w:rsidRPr="00C86005">
        <w:rPr>
          <w:rFonts w:ascii="Times New Roman" w:hAnsi="Times New Roman" w:cs="Times New Roman"/>
          <w:i/>
          <w:iCs/>
          <w:sz w:val="20"/>
          <w:szCs w:val="20"/>
        </w:rPr>
        <w:t>Nota: Se describen los casos más emblemáticos</w:t>
      </w:r>
      <w:r>
        <w:rPr>
          <w:rFonts w:ascii="Times New Roman" w:hAnsi="Times New Roman" w:cs="Times New Roman"/>
          <w:i/>
          <w:iCs/>
          <w:sz w:val="20"/>
          <w:szCs w:val="20"/>
        </w:rPr>
        <w:t xml:space="preserve"> </w:t>
      </w:r>
      <w:r w:rsidRPr="00C86005">
        <w:rPr>
          <w:rFonts w:ascii="Times New Roman" w:hAnsi="Times New Roman" w:cs="Times New Roman"/>
          <w:i/>
          <w:iCs/>
          <w:sz w:val="20"/>
          <w:szCs w:val="20"/>
        </w:rPr>
        <w:t>de denuncia constitucional que se han dado en</w:t>
      </w:r>
      <w:r>
        <w:rPr>
          <w:rFonts w:ascii="Times New Roman" w:hAnsi="Times New Roman" w:cs="Times New Roman"/>
          <w:i/>
          <w:iCs/>
          <w:sz w:val="20"/>
          <w:szCs w:val="20"/>
        </w:rPr>
        <w:t xml:space="preserve"> </w:t>
      </w:r>
      <w:r w:rsidRPr="00C86005">
        <w:rPr>
          <w:rFonts w:ascii="Times New Roman" w:hAnsi="Times New Roman" w:cs="Times New Roman"/>
          <w:i/>
          <w:iCs/>
          <w:sz w:val="20"/>
          <w:szCs w:val="20"/>
        </w:rPr>
        <w:t>las últimas décadas.</w:t>
      </w:r>
    </w:p>
    <w:p w:rsidR="0017421D" w:rsidRPr="00C86005" w:rsidRDefault="0017421D" w:rsidP="0017421D">
      <w:pPr>
        <w:tabs>
          <w:tab w:val="left" w:pos="1047"/>
        </w:tabs>
        <w:jc w:val="both"/>
        <w:rPr>
          <w:rFonts w:ascii="Times New Roman" w:hAnsi="Times New Roman" w:cs="Times New Roman"/>
          <w:b/>
          <w:bCs/>
          <w:sz w:val="20"/>
          <w:szCs w:val="20"/>
        </w:rPr>
      </w:pPr>
      <w:r w:rsidRPr="00C86005">
        <w:rPr>
          <w:rFonts w:ascii="Times New Roman" w:hAnsi="Times New Roman" w:cs="Times New Roman"/>
          <w:b/>
          <w:bCs/>
          <w:sz w:val="20"/>
          <w:szCs w:val="20"/>
        </w:rPr>
        <w:t>Figura N°05</w:t>
      </w:r>
    </w:p>
    <w:p w:rsidR="0017421D" w:rsidRPr="00C86005" w:rsidRDefault="0017421D" w:rsidP="0017421D">
      <w:pPr>
        <w:tabs>
          <w:tab w:val="left" w:pos="1047"/>
        </w:tabs>
        <w:jc w:val="both"/>
        <w:rPr>
          <w:rFonts w:ascii="Times New Roman" w:hAnsi="Times New Roman" w:cs="Times New Roman"/>
          <w:i/>
          <w:iCs/>
          <w:noProof/>
          <w:sz w:val="20"/>
          <w:szCs w:val="20"/>
        </w:rPr>
      </w:pPr>
      <w:r w:rsidRPr="00C86005">
        <w:rPr>
          <w:rFonts w:ascii="Times New Roman" w:hAnsi="Times New Roman" w:cs="Times New Roman"/>
          <w:i/>
          <w:iCs/>
          <w:noProof/>
          <w:sz w:val="20"/>
          <w:szCs w:val="20"/>
        </w:rPr>
        <w:t>Opiniones de especialistas en derecho cosntitucional</w:t>
      </w:r>
    </w:p>
    <w:p w:rsidR="0017421D" w:rsidRPr="00C86005" w:rsidRDefault="0017421D" w:rsidP="0017421D">
      <w:pPr>
        <w:tabs>
          <w:tab w:val="left" w:pos="1047"/>
        </w:tabs>
        <w:jc w:val="center"/>
        <w:rPr>
          <w:rFonts w:ascii="Times New Roman" w:hAnsi="Times New Roman" w:cs="Times New Roman"/>
          <w:sz w:val="20"/>
          <w:szCs w:val="20"/>
        </w:rPr>
      </w:pPr>
      <w:r w:rsidRPr="00C86005">
        <w:rPr>
          <w:rFonts w:ascii="Times New Roman" w:hAnsi="Times New Roman" w:cs="Times New Roman"/>
          <w:noProof/>
          <w:sz w:val="20"/>
          <w:szCs w:val="20"/>
          <w:lang w:eastAsia="es-PE"/>
        </w:rPr>
        <w:drawing>
          <wp:inline distT="0" distB="0" distL="0" distR="0" wp14:anchorId="1ED2EA7F" wp14:editId="1C7AD119">
            <wp:extent cx="2362200" cy="1857375"/>
            <wp:effectExtent l="3810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7421D" w:rsidRDefault="0017421D" w:rsidP="0017421D">
      <w:pPr>
        <w:tabs>
          <w:tab w:val="left" w:pos="1047"/>
        </w:tabs>
        <w:jc w:val="both"/>
        <w:rPr>
          <w:rFonts w:ascii="Times New Roman" w:hAnsi="Times New Roman" w:cs="Times New Roman"/>
          <w:i/>
          <w:iCs/>
          <w:sz w:val="20"/>
          <w:szCs w:val="20"/>
        </w:rPr>
      </w:pPr>
      <w:r w:rsidRPr="00C86005">
        <w:rPr>
          <w:rFonts w:ascii="Times New Roman" w:hAnsi="Times New Roman" w:cs="Times New Roman"/>
          <w:i/>
          <w:iCs/>
          <w:sz w:val="20"/>
          <w:szCs w:val="20"/>
        </w:rPr>
        <w:t>Nota: Se menciona las posturas de los constitucionalistas más destacados, con respecto a la acusación constitucional.</w:t>
      </w:r>
    </w:p>
    <w:p w:rsidR="0017421D" w:rsidRPr="00C86005" w:rsidRDefault="0017421D" w:rsidP="0017421D">
      <w:pPr>
        <w:tabs>
          <w:tab w:val="left" w:pos="1047"/>
        </w:tabs>
        <w:jc w:val="both"/>
        <w:rPr>
          <w:rFonts w:ascii="Times New Roman" w:hAnsi="Times New Roman" w:cs="Times New Roman"/>
          <w:i/>
          <w:iCs/>
          <w:sz w:val="20"/>
          <w:szCs w:val="20"/>
        </w:rPr>
      </w:pPr>
    </w:p>
    <w:p w:rsidR="0017421D" w:rsidRPr="00C86005" w:rsidRDefault="0017421D" w:rsidP="0017421D">
      <w:pPr>
        <w:tabs>
          <w:tab w:val="left" w:pos="1047"/>
        </w:tabs>
        <w:rPr>
          <w:rFonts w:ascii="Times New Roman" w:hAnsi="Times New Roman" w:cs="Times New Roman"/>
          <w:b/>
          <w:bCs/>
          <w:sz w:val="20"/>
          <w:szCs w:val="20"/>
        </w:rPr>
      </w:pPr>
      <w:r w:rsidRPr="00C86005">
        <w:rPr>
          <w:rFonts w:ascii="Times New Roman" w:hAnsi="Times New Roman" w:cs="Times New Roman"/>
          <w:b/>
          <w:bCs/>
          <w:sz w:val="20"/>
          <w:szCs w:val="20"/>
        </w:rPr>
        <w:t>Figura N°06</w:t>
      </w:r>
    </w:p>
    <w:p w:rsidR="0017421D" w:rsidRPr="00C86005" w:rsidRDefault="0017421D" w:rsidP="0017421D">
      <w:pPr>
        <w:tabs>
          <w:tab w:val="left" w:pos="1047"/>
        </w:tabs>
        <w:jc w:val="both"/>
        <w:rPr>
          <w:rFonts w:ascii="Times New Roman" w:hAnsi="Times New Roman" w:cs="Times New Roman"/>
          <w:i/>
          <w:iCs/>
          <w:noProof/>
          <w:sz w:val="20"/>
          <w:szCs w:val="20"/>
          <w:lang w:eastAsia="es-PE"/>
        </w:rPr>
      </w:pPr>
      <w:r w:rsidRPr="00C86005">
        <w:rPr>
          <w:rFonts w:ascii="Times New Roman" w:hAnsi="Times New Roman" w:cs="Times New Roman"/>
          <w:i/>
          <w:iCs/>
          <w:noProof/>
          <w:sz w:val="20"/>
          <w:szCs w:val="20"/>
          <w:lang w:eastAsia="es-PE"/>
        </w:rPr>
        <w:t>Aspectos que debe contemplar una modificatoria legislativa sobre tipificación de la infracción constitucional, la incapacidad moral de una Alto Funcionario del Estado</w:t>
      </w:r>
    </w:p>
    <w:p w:rsidR="0017421D" w:rsidRPr="00C86005" w:rsidRDefault="0017421D" w:rsidP="0017421D">
      <w:pPr>
        <w:tabs>
          <w:tab w:val="left" w:pos="1047"/>
        </w:tabs>
        <w:jc w:val="center"/>
        <w:rPr>
          <w:rFonts w:ascii="Arial" w:hAnsi="Arial" w:cs="Arial"/>
          <w:noProof/>
          <w:sz w:val="24"/>
          <w:szCs w:val="24"/>
          <w:lang w:eastAsia="es-PE"/>
        </w:rPr>
      </w:pPr>
      <w:r w:rsidRPr="00C86005">
        <w:rPr>
          <w:rFonts w:ascii="Arial" w:hAnsi="Arial" w:cs="Arial"/>
          <w:noProof/>
          <w:sz w:val="24"/>
          <w:szCs w:val="24"/>
          <w:lang w:eastAsia="es-PE"/>
        </w:rPr>
        <w:lastRenderedPageBreak/>
        <w:drawing>
          <wp:inline distT="0" distB="0" distL="0" distR="0" wp14:anchorId="2EB46015" wp14:editId="58D6E1B7">
            <wp:extent cx="2533650" cy="4105275"/>
            <wp:effectExtent l="0" t="0" r="0" b="952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7421D" w:rsidRDefault="0017421D" w:rsidP="0017421D">
      <w:pPr>
        <w:tabs>
          <w:tab w:val="left" w:pos="1047"/>
        </w:tabs>
        <w:rPr>
          <w:rFonts w:ascii="Times New Roman" w:hAnsi="Times New Roman" w:cs="Times New Roman"/>
          <w:i/>
          <w:iCs/>
          <w:sz w:val="20"/>
          <w:szCs w:val="20"/>
        </w:rPr>
      </w:pPr>
      <w:r w:rsidRPr="00C86005">
        <w:rPr>
          <w:rFonts w:ascii="Times New Roman" w:hAnsi="Times New Roman" w:cs="Times New Roman"/>
          <w:i/>
          <w:iCs/>
          <w:sz w:val="20"/>
          <w:szCs w:val="20"/>
        </w:rPr>
        <w:t>Nota: Se describen las regulaciones que deberían incluirse en una posible modificatoria legisla</w:t>
      </w:r>
      <w:r w:rsidR="00CE1851">
        <w:rPr>
          <w:rFonts w:ascii="Times New Roman" w:hAnsi="Times New Roman" w:cs="Times New Roman"/>
          <w:i/>
          <w:iCs/>
          <w:sz w:val="20"/>
          <w:szCs w:val="20"/>
        </w:rPr>
        <w:t>tiva respecto al antejuicio y ju</w:t>
      </w:r>
      <w:r w:rsidRPr="00C86005">
        <w:rPr>
          <w:rFonts w:ascii="Times New Roman" w:hAnsi="Times New Roman" w:cs="Times New Roman"/>
          <w:i/>
          <w:iCs/>
          <w:sz w:val="20"/>
          <w:szCs w:val="20"/>
        </w:rPr>
        <w:t>icio político.</w:t>
      </w:r>
    </w:p>
    <w:p w:rsidR="0017421D" w:rsidRDefault="0017421D" w:rsidP="0017421D">
      <w:pPr>
        <w:tabs>
          <w:tab w:val="left" w:pos="1047"/>
        </w:tabs>
        <w:rPr>
          <w:rFonts w:ascii="Times New Roman" w:hAnsi="Times New Roman" w:cs="Times New Roman"/>
          <w:i/>
          <w:iCs/>
          <w:sz w:val="20"/>
          <w:szCs w:val="20"/>
        </w:rPr>
      </w:pPr>
    </w:p>
    <w:p w:rsidR="0017421D" w:rsidRPr="00C86005" w:rsidRDefault="0017421D" w:rsidP="0017421D">
      <w:pPr>
        <w:tabs>
          <w:tab w:val="left" w:pos="1047"/>
        </w:tabs>
        <w:rPr>
          <w:rFonts w:ascii="Times New Roman" w:hAnsi="Times New Roman" w:cs="Times New Roman"/>
          <w:i/>
          <w:iCs/>
          <w:sz w:val="20"/>
          <w:szCs w:val="20"/>
        </w:rPr>
      </w:pPr>
    </w:p>
    <w:p w:rsidR="0017421D" w:rsidRPr="00C86005" w:rsidRDefault="0017421D" w:rsidP="0017421D">
      <w:pPr>
        <w:tabs>
          <w:tab w:val="left" w:pos="1047"/>
        </w:tabs>
        <w:rPr>
          <w:rFonts w:ascii="Times New Roman" w:hAnsi="Times New Roman" w:cs="Times New Roman"/>
          <w:b/>
          <w:bCs/>
          <w:sz w:val="20"/>
          <w:szCs w:val="20"/>
        </w:rPr>
      </w:pPr>
      <w:r w:rsidRPr="00C86005">
        <w:rPr>
          <w:rFonts w:ascii="Times New Roman" w:hAnsi="Times New Roman" w:cs="Times New Roman"/>
          <w:b/>
          <w:bCs/>
          <w:sz w:val="20"/>
          <w:szCs w:val="20"/>
        </w:rPr>
        <w:t>Figura N°07</w:t>
      </w:r>
    </w:p>
    <w:p w:rsidR="0017421D" w:rsidRPr="00C86005" w:rsidRDefault="0017421D" w:rsidP="0017421D">
      <w:pPr>
        <w:tabs>
          <w:tab w:val="left" w:pos="1047"/>
        </w:tabs>
        <w:jc w:val="both"/>
        <w:rPr>
          <w:rFonts w:ascii="Times New Roman" w:hAnsi="Times New Roman" w:cs="Times New Roman"/>
          <w:i/>
          <w:iCs/>
          <w:sz w:val="20"/>
          <w:szCs w:val="20"/>
        </w:rPr>
      </w:pPr>
      <w:r w:rsidRPr="00C86005">
        <w:rPr>
          <w:rFonts w:ascii="Times New Roman" w:hAnsi="Times New Roman" w:cs="Times New Roman"/>
          <w:i/>
          <w:iCs/>
          <w:sz w:val="20"/>
          <w:szCs w:val="20"/>
        </w:rPr>
        <w:t>Derechos incluidos en el debido proceso</w:t>
      </w:r>
    </w:p>
    <w:p w:rsidR="0017421D" w:rsidRPr="00C86005" w:rsidRDefault="0017421D" w:rsidP="0017421D">
      <w:pPr>
        <w:tabs>
          <w:tab w:val="left" w:pos="1047"/>
        </w:tabs>
        <w:jc w:val="center"/>
        <w:rPr>
          <w:rFonts w:ascii="Arial" w:hAnsi="Arial" w:cs="Arial"/>
          <w:b/>
          <w:bCs/>
          <w:sz w:val="18"/>
          <w:szCs w:val="18"/>
        </w:rPr>
      </w:pPr>
      <w:r w:rsidRPr="00C86005">
        <w:rPr>
          <w:rFonts w:ascii="Arial" w:hAnsi="Arial" w:cs="Arial"/>
          <w:noProof/>
          <w:sz w:val="24"/>
          <w:szCs w:val="24"/>
          <w:lang w:eastAsia="es-PE"/>
        </w:rPr>
        <w:drawing>
          <wp:inline distT="0" distB="0" distL="0" distR="0" wp14:anchorId="469E0C63" wp14:editId="384E02D0">
            <wp:extent cx="2181225" cy="2190750"/>
            <wp:effectExtent l="19050" t="0" r="9525" b="3810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17421D" w:rsidRDefault="0017421D" w:rsidP="0017421D">
      <w:pPr>
        <w:tabs>
          <w:tab w:val="left" w:pos="1047"/>
        </w:tabs>
        <w:jc w:val="both"/>
        <w:rPr>
          <w:rFonts w:ascii="Times New Roman" w:hAnsi="Times New Roman" w:cs="Times New Roman"/>
          <w:i/>
          <w:iCs/>
          <w:sz w:val="20"/>
          <w:szCs w:val="20"/>
        </w:rPr>
      </w:pPr>
      <w:r w:rsidRPr="00C86005">
        <w:rPr>
          <w:rFonts w:ascii="Times New Roman" w:hAnsi="Times New Roman" w:cs="Times New Roman"/>
          <w:i/>
          <w:iCs/>
          <w:sz w:val="20"/>
          <w:szCs w:val="20"/>
        </w:rPr>
        <w:t>Nota: Se describen los derechos que resguarda el debido proceso.</w:t>
      </w:r>
    </w:p>
    <w:p w:rsidR="0017421D" w:rsidRDefault="0017421D" w:rsidP="0017421D">
      <w:pPr>
        <w:tabs>
          <w:tab w:val="left" w:pos="1047"/>
        </w:tabs>
        <w:jc w:val="both"/>
        <w:rPr>
          <w:rFonts w:ascii="Times New Roman" w:hAnsi="Times New Roman" w:cs="Times New Roman"/>
          <w:sz w:val="20"/>
          <w:szCs w:val="20"/>
        </w:rPr>
      </w:pP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En lo referente al artículo 99° de la Constitución Política del Perú, el artículo se caracteriza por delimitar que tipo de funcionarios vendrían a responder ante un juicio político, el cual lo efectuará el parlamento. En </w:t>
      </w:r>
      <w:r w:rsidRPr="00C86005">
        <w:rPr>
          <w:rFonts w:ascii="Times New Roman" w:hAnsi="Times New Roman" w:cs="Times New Roman"/>
          <w:sz w:val="20"/>
          <w:szCs w:val="20"/>
        </w:rPr>
        <w:lastRenderedPageBreak/>
        <w:t>dicho juicio se puede observar de que se trata de altos funcionarios que han de responder por infracciones constitucionales o delitos cometidos en el ejercicio de su cargo derivado de sus funciones.</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Esto, a raíz de la importancia de las decisiones de los funcionarios de alto nivel, por ello, el antejuicio político lo tomará el parlamento, puesto que, la acusación constitucional no es precisamente un juicio penal, sino una antesala penal –dependiendo del caso-, pero más va en función al principio de control del Parlamento.</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A su vez el artículo 100° de la Constitución Política del Perú, es acorde al principio de legalidad; y a la función de control propia del Parlamento. Como se sabe, los altos funcionarios, por su jerarquía las decisiones que tendrán un fuerte impacto. Por lo que es aún más necesario que el control político hacía éstos sea correspondido por una entidad como el Parlamento. Es por ello que el Parlamento cumplirá con ese rol fiscalizador y de control; y no solo se limitar a resguardar la constitución.</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Ante esas implicancias, el funcionario debe siempre actuar conforme a la constitución y a las normas inherentes a su cargo, ya que, en caso de transgredirlas, recaerá en el antejuicio político.</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 El cuál si bien es cierto lo señala el artículo 100°, en el Reglamento del Congreso en su artículo 88° menciona algunas pautas. La primera, es que en harás de respaldar el buen desempeño y gobernanza, el funcionario se evitara que sea sancionado por órganos judiciales. La segunda, es que el Parlamento tendrá la exclusividad de llevar a cabo investigaciones respectivas al gobierno central. Es por ello que el Parlamento podrá levantar el fuero y recién ahí empezar el antejuicio político.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Por otra parte, el artículo 89° delimita el proceso, el cual se da con una denuncia constitucional. No obstante, cabe aclarar que el antejuicio político no es lo mismo que el juicio político. En el primero, se estable la posibilidad de si existe una responsabilidad jurídica del funcionario; mientras que, en el segundo, se establece la posibilidad de responsabilidad jurídica y de ser positivas, configurar las sanciones del caso.</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Por otra parte, la doctrina nacional guarda cierto respaldo en la importancia del control político por parte del Parlamento; por ejemplo, Chirinos de Soto establece que si existe una concordancia.</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También García Chavarri, considera que la acusación constitucional no responde solo a fines sancionadores; sino que posibilita a la ciudadanía conocer las investigaciones relevantes, aunque también se dan ciertas críticas, como la que sostiene Eguiguren Praeli, dónde señala que puede sobreponerse interés político por encima de constitucionales o de salvaguardar la gobernanza, y sucedería lo que manifiesta (Bernales Ballesteros, 2012) “que  todo y cada uno de los artículos constitucionales podrían constituir el catálogo de posibles contravenciones susceptibles de acusación por infracción a la Constitución”.</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Dado que, como ya señalo anteriormente, la acusación constitucional pese a responder a la función de control político y en salvaguardar el buen gobierno tiene ciertas incongruencias, en donde el principio de legalidad puede verse vulnerado.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En primer lugar, podemos señal</w:t>
      </w:r>
      <w:r w:rsidR="004D6541">
        <w:rPr>
          <w:rFonts w:ascii="Times New Roman" w:hAnsi="Times New Roman" w:cs="Times New Roman"/>
          <w:sz w:val="20"/>
          <w:szCs w:val="20"/>
        </w:rPr>
        <w:t>ar que existen ciertos vacíos</w:t>
      </w:r>
      <w:r w:rsidRPr="00C86005">
        <w:rPr>
          <w:rFonts w:ascii="Times New Roman" w:hAnsi="Times New Roman" w:cs="Times New Roman"/>
          <w:sz w:val="20"/>
          <w:szCs w:val="20"/>
        </w:rPr>
        <w:t xml:space="preserve"> en el reglamento procesal de dicho juicio; por un lado, no se especifican plazos, pero, sobre todo no se identifica como se produciría la infracción constitucional. Por lo que no se puede lograr diferenciar adecuadamente a que nos referimos con vulneración de la Constitución o bien de un delito tipificado del Código Penal (de ser así, no estaríamos hablando una transgresión a la constitución).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En segundo lugar, existe un amplio margen de susceptibilidad en considerar como infracción constitucional a un amplio número de faltas. Puesto que todos los artículos de la Constitución pueden considerarse ante una posible acusación o infracción. Esta susceptibilidad dificulta aún más la diferenciación señalada en el punto anterior.</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Sin embargo, el principal problema se daría en que dicha ambigüedad se prestaría para una sanción bajo criterios exclusivamente de interés político y no tanto de control político.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La susceptibilidad que genera esta figura, ha generado diversas manifestaciones por parte del Tribunal Constitucional, en las que interpretan el uso de éstas, así como también la trayectoria de los juicios políticos más emblemáticos indican; y que características han tenido.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lastRenderedPageBreak/>
        <w:t>Por lo que es importante mencionar, como han aportado a la jurisprudencia y como se ha venido llevando a cabo ésta figura.</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Por ejemplo, el Expediente N°3593-2006-AA/TC, reafirma que el juicio político debe desarrollare exclusivamente bajo las normas establecidas según los artículos 99° y 100° de la Constitución Política del Perú, como los artículos 88° y 89° del Reglamento del Congreso. Y el Expediente N°0006-2003-AI/TC regula que para aplicar la sanción de inhabilitación de 10 años (dentro del juicio político), es necesario 2/3 partes del congreso sin la comisión permanente. Por otra parte, el expediente N°03760-204-AA/TC enfatiza que la sanción prevista en el artículo 100°, debe aplicarse solo a los estipulados por el artículo 99°.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Por otro lado, aunque el artículo 99° señala de que el antejuicio puede efectuarse con funcionarios que hayan cesado del cargo. El expediente N°00030-2010-PHC/TC considera como un límite temporal hasta 5 años posterior al cese de funciones. Sin embargo, el expediente N°00156-2012-PHC/TC, manifiesta que no se han fijado criterios objetivos para el vencimiento del plazo razonable. Por lo que en consideración se reafirma la posición de que existe un vació en la regulación de los plazos.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En lo respectivo a los casos más emblemáticos de las acusaciones constitucionales, podemos observar ciertas particularidades. Por ejemplo, los presidentes acusados, por lo general se le daba posterior a su cargo, esto con el fin de mantener la gobernanza. Pero, siempre contemplando la posibilidad de que pese a la jerarquía que ha de tener un mandatario, éste tendrá que hacerse responsable de sus actos. Otra característica peculiar, es que el Congreso servía para favorecer dar inicio al proceso judicial correspondiente. Por lo que, lo usual no era hacer uso de su capacidad sancionadora.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Mencionando algunos casos: i) Ollanta Humala Tasso y miembros de su gabinete, se buscó que rindan cuentas por irregularidades en ciertos contratos; ii) Alberto Fujimori, se le imputo por delitos relacionados al código penal –principalmente en base a los escándalos de corrupción-; iii) Cesar Hinostroza, se le imputo de haber integrado una organización criminal.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En estos casos se resaltó que se trataban principalmente de faltas de índole penal, y dónde el Parlamento hizo uso de su Control Político para garantizar una adecuada rendición de cuentas.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En el caso de Kenji Fujimori, fue más complejo, pues a diferencia de los anteriores, en dónde se reafirma lo penal. Al congresista Kenji Fujimori y su bancada, se le acusa de transgredir varios artículos como los numero 35°, 38°, 39°, 43°, 44° y 45°. Por lo que se dilucida de que todos los artículos de la Constitución, podrían prestarse para una acusación constitucional. No obstante, de igual forma, la naturaleza política se evidencia claramente en todos los casos anteriores.</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En los juicios señalados, queda claro que la acusación constitucional, tiene una fuerte naturaleza política. Además, no existe una correlación directa entre el juicio político del Parlamento con el Poder Judicial, por lo que existe una concordancia en que tiene un carácter autónom</w:t>
      </w:r>
      <w:r w:rsidR="004414E8">
        <w:rPr>
          <w:rFonts w:ascii="Times New Roman" w:hAnsi="Times New Roman" w:cs="Times New Roman"/>
          <w:sz w:val="20"/>
          <w:szCs w:val="20"/>
        </w:rPr>
        <w:t>o en política. Bien menciona Bi</w:t>
      </w:r>
      <w:r w:rsidRPr="00C86005">
        <w:rPr>
          <w:rFonts w:ascii="Times New Roman" w:hAnsi="Times New Roman" w:cs="Times New Roman"/>
          <w:sz w:val="20"/>
          <w:szCs w:val="20"/>
        </w:rPr>
        <w:t xml:space="preserve">dart Campos, el juicio político es una medida sancionadora en situaciones de inconveniencia al Estado. La exclusividad no es correspondiente a un fuero judicial, sino es neto al factor político, puesto que se limita a cualquier situación en donde se afecte de manera alguna al Estado.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Esto se evidencia en el caso del congresista Kenji Fujimori, que, pese a no haber representado algún perjuicio económico a los bienes jurídicos del Estado, si presento un inconveniente en el ejercicio de sus funciones como parlamentario. Por lo que se tradujo en infracción constitucional y devino en una denuncia constitucional. Además, es pertinente indicar que el parlamento no solo ha de sancionar, sino que ha de garantizar a los ciudadanos la transparencia de la investigación y el asunto de interés respectivo (García Chavarri, 2004).</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Finalmente, a grandes rasgos podemos afirmar que la acusación constitucional se presta para varias susceptibilidades y vulneraciones del principio de legalidad, principalmente porque oscila en un área gris, ya sea por las ambigüedades propias de su naturaleza, como de su reglamento procesal. Es por ello, que en el presente artículo sugerimos que se ha de contemplar una modificatoria legislativa sobre la infracción constitucional. Las cuales son las siguientes: </w:t>
      </w:r>
    </w:p>
    <w:p w:rsidR="0017421D" w:rsidRPr="00C86005" w:rsidRDefault="0017421D" w:rsidP="0017421D">
      <w:pPr>
        <w:pStyle w:val="Prrafodelista"/>
        <w:numPr>
          <w:ilvl w:val="0"/>
          <w:numId w:val="2"/>
        </w:numPr>
        <w:jc w:val="both"/>
        <w:rPr>
          <w:rFonts w:ascii="Times New Roman" w:hAnsi="Times New Roman" w:cs="Times New Roman"/>
          <w:sz w:val="20"/>
          <w:szCs w:val="20"/>
        </w:rPr>
      </w:pPr>
      <w:r w:rsidRPr="00C86005">
        <w:rPr>
          <w:rFonts w:ascii="Times New Roman" w:hAnsi="Times New Roman" w:cs="Times New Roman"/>
          <w:sz w:val="20"/>
          <w:szCs w:val="20"/>
        </w:rPr>
        <w:t xml:space="preserve">Resulta importante establecer cuales vendrían hacer las causales para ser merecedor de una infracción constitucional. </w:t>
      </w:r>
    </w:p>
    <w:p w:rsidR="0017421D" w:rsidRPr="00C86005" w:rsidRDefault="0017421D" w:rsidP="0017421D">
      <w:pPr>
        <w:pStyle w:val="Prrafodelista"/>
        <w:numPr>
          <w:ilvl w:val="0"/>
          <w:numId w:val="2"/>
        </w:numPr>
        <w:jc w:val="both"/>
        <w:rPr>
          <w:rFonts w:ascii="Times New Roman" w:hAnsi="Times New Roman" w:cs="Times New Roman"/>
          <w:sz w:val="20"/>
          <w:szCs w:val="20"/>
        </w:rPr>
      </w:pPr>
      <w:r w:rsidRPr="00C86005">
        <w:rPr>
          <w:rFonts w:ascii="Times New Roman" w:hAnsi="Times New Roman" w:cs="Times New Roman"/>
          <w:sz w:val="20"/>
          <w:szCs w:val="20"/>
        </w:rPr>
        <w:lastRenderedPageBreak/>
        <w:t xml:space="preserve">Es clave establecer los delitos de infracción al deber, para que el funcionario pueda distinguir entre una infracción constitucional y las infracciones al deber en el ejercicio de su cargo. </w:t>
      </w:r>
    </w:p>
    <w:p w:rsidR="0017421D" w:rsidRPr="00C86005" w:rsidRDefault="0017421D" w:rsidP="0017421D">
      <w:pPr>
        <w:pStyle w:val="Prrafodelista"/>
        <w:numPr>
          <w:ilvl w:val="0"/>
          <w:numId w:val="2"/>
        </w:numPr>
        <w:jc w:val="both"/>
        <w:rPr>
          <w:rFonts w:ascii="Times New Roman" w:hAnsi="Times New Roman" w:cs="Times New Roman"/>
          <w:sz w:val="20"/>
          <w:szCs w:val="20"/>
        </w:rPr>
      </w:pPr>
      <w:r w:rsidRPr="00C86005">
        <w:rPr>
          <w:rFonts w:ascii="Times New Roman" w:hAnsi="Times New Roman" w:cs="Times New Roman"/>
          <w:sz w:val="20"/>
          <w:szCs w:val="20"/>
        </w:rPr>
        <w:t xml:space="preserve">Se debe aclarar los plazos determinados ya sea en la etapa de investigación, en aras de salvaguardar el debido proceso.  </w:t>
      </w:r>
    </w:p>
    <w:p w:rsidR="0017421D" w:rsidRPr="00C86005" w:rsidRDefault="0017421D" w:rsidP="0017421D">
      <w:pPr>
        <w:pStyle w:val="Prrafodelista"/>
        <w:numPr>
          <w:ilvl w:val="0"/>
          <w:numId w:val="2"/>
        </w:numPr>
        <w:jc w:val="both"/>
        <w:rPr>
          <w:rFonts w:ascii="Times New Roman" w:hAnsi="Times New Roman" w:cs="Times New Roman"/>
          <w:sz w:val="20"/>
          <w:szCs w:val="20"/>
        </w:rPr>
      </w:pPr>
      <w:r w:rsidRPr="00C86005">
        <w:rPr>
          <w:rFonts w:ascii="Times New Roman" w:hAnsi="Times New Roman" w:cs="Times New Roman"/>
          <w:sz w:val="20"/>
          <w:szCs w:val="20"/>
        </w:rPr>
        <w:t xml:space="preserve">Es importante que se regule las conductas que configuran la incapacidad moral a los funcionarios. Sobre todo, aclara taxativamente que aspectos configurarían tal conducta.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Dentro de estas sugerencias, la última es de gran transcendencia, puesto que como señala el inciso 2 del artículo 113°, la vacancia presidencia se daría por incapacidad física o incapacidad moral. Esta característica genera aún una mayor incongruencia en el principio de legalidad. Puesto que siguiendo los ejes que rigen dicho principio, no se puede hacer previsto algo que no ha sido regulado. Y esto se confirma aún más con el expediente N°0006-2003-AI/TC, en dónde no se reconoce procedimiento alguno para aplicar tal causal.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En caso de haberse realizado la sugerencia, podemos afirmar que se estaría cumpliendo con los derechos del debido proceso. Dotando de seguridad jurídica a los funcionarios que sean procesados o investigados en los procesos de infracción constitucional. Previniendo arbitrariedades y garantizando los derechos propios que engloban el debido proceso.</w:t>
      </w:r>
    </w:p>
    <w:p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CONCLUSIONES</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La interpretación</w:t>
      </w:r>
      <w:r w:rsidR="004414E8">
        <w:rPr>
          <w:rFonts w:ascii="Times New Roman" w:hAnsi="Times New Roman" w:cs="Times New Roman"/>
          <w:sz w:val="20"/>
          <w:szCs w:val="20"/>
        </w:rPr>
        <w:t xml:space="preserve"> se </w:t>
      </w:r>
      <w:r w:rsidRPr="00C86005">
        <w:rPr>
          <w:rFonts w:ascii="Times New Roman" w:hAnsi="Times New Roman" w:cs="Times New Roman"/>
          <w:sz w:val="20"/>
          <w:szCs w:val="20"/>
        </w:rPr>
        <w:t xml:space="preserve"> realiza a los</w:t>
      </w:r>
      <w:r w:rsidR="004414E8">
        <w:rPr>
          <w:rFonts w:ascii="Times New Roman" w:hAnsi="Times New Roman" w:cs="Times New Roman"/>
          <w:sz w:val="20"/>
          <w:szCs w:val="20"/>
        </w:rPr>
        <w:t xml:space="preserve"> artículos </w:t>
      </w:r>
      <w:r w:rsidRPr="00C86005">
        <w:rPr>
          <w:rFonts w:ascii="Times New Roman" w:hAnsi="Times New Roman" w:cs="Times New Roman"/>
          <w:sz w:val="20"/>
          <w:szCs w:val="20"/>
        </w:rPr>
        <w:t xml:space="preserve"> 99° y 100° de la Constitución y el artículo 88° y 89° del Reglamento del Congreso de la República, respecto al procedimiento al que se someten los funcionarios de más alto rango en el eje estatal por presuntas infracciones constitucionales o delitos cometidos en el ejercicio de su cargo, nos permite identificar la falta de tipificación taxativa sobre la configuración de la infracción constitucional vulnerando de esta manera el principio de legalidad.</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Debido a que, no se puede establecer de manera clara y precisa cuando se habla de una vulneración de la Constitución o bien de un delito tipificado por el código penal, prestándose para ambigüedades, por la falta de delimitación de cuando se infringe, pudiendo generar posibles arbitrariedades.</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Razón por la cual, las posturas doctrinarias analizada manifiestan que se deben determinar taxativamente las conductas infractoras, siendo necesario y pertinente establecer un mecanismo que permita identificar cuando corresponde sancionar conductas de carácter político y cuando corresponde sancionar conductas de carácter delictivo.</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 xml:space="preserve">Por ello, es necesario realizar una modificatoria legislativa que permita delimitar los contenidos penales y constitucionales que tipifican la infracción constitucional, la incapacidad moral de un alto funcionario conforme a los parámetros de los artículos 99° y 100° de la Constitución Política. </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Siendo pertinente establecer: 1) Las conducta que generan responsabilidad política; 2) Las causales de infracciones constitucionales en las que pueda incurrir un funcionario contemplado en el artículo 99° de la Constitución; 3)Los delitos de infracción al deber que pueden incurrir los funcionarios contemplados en el artículo 99° de la Constitución; 4) Un plazo determinado para la duración de la etapa de investigación de la infracción constitucional, 5) Las conductas que configuran incapacidad moral a los funcionarios</w:t>
      </w:r>
      <w:r w:rsidR="004414E8">
        <w:rPr>
          <w:rFonts w:ascii="Times New Roman" w:hAnsi="Times New Roman" w:cs="Times New Roman"/>
          <w:sz w:val="20"/>
          <w:szCs w:val="20"/>
        </w:rPr>
        <w:t>.</w:t>
      </w:r>
    </w:p>
    <w:p w:rsidR="0017421D" w:rsidRPr="00C86005" w:rsidRDefault="0017421D" w:rsidP="0017421D">
      <w:pPr>
        <w:tabs>
          <w:tab w:val="left" w:pos="1047"/>
        </w:tabs>
        <w:jc w:val="both"/>
        <w:rPr>
          <w:rFonts w:ascii="Times New Roman" w:hAnsi="Times New Roman" w:cs="Times New Roman"/>
          <w:sz w:val="20"/>
          <w:szCs w:val="20"/>
        </w:rPr>
      </w:pPr>
      <w:r w:rsidRPr="00C86005">
        <w:rPr>
          <w:rFonts w:ascii="Times New Roman" w:hAnsi="Times New Roman" w:cs="Times New Roman"/>
          <w:sz w:val="20"/>
          <w:szCs w:val="20"/>
        </w:rPr>
        <w:t>De esta manera, se podría realizar un proceso de acusación constitucional dentro de los parámetros legales, evitando vulnerar al principio de legalidad y resguardando los derechos que engloba el debido proceso dentro de los procesos de acusación constitucional.</w:t>
      </w:r>
    </w:p>
    <w:p w:rsidR="0017421D" w:rsidRPr="00C86005" w:rsidRDefault="0017421D" w:rsidP="0017421D">
      <w:pPr>
        <w:pStyle w:val="Prrafodelista"/>
        <w:numPr>
          <w:ilvl w:val="0"/>
          <w:numId w:val="1"/>
        </w:numPr>
        <w:tabs>
          <w:tab w:val="left" w:pos="1047"/>
        </w:tabs>
        <w:rPr>
          <w:rFonts w:ascii="Arial" w:hAnsi="Arial" w:cs="Arial"/>
          <w:b/>
          <w:bCs/>
          <w:sz w:val="18"/>
          <w:szCs w:val="18"/>
        </w:rPr>
      </w:pPr>
      <w:r w:rsidRPr="00C86005">
        <w:rPr>
          <w:rFonts w:ascii="Arial" w:hAnsi="Arial" w:cs="Arial"/>
          <w:b/>
          <w:bCs/>
          <w:sz w:val="18"/>
          <w:szCs w:val="18"/>
        </w:rPr>
        <w:t>REFERENCIAS BIBLOGRAFICAS</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 xml:space="preserve">Anchondo, V. (2012). Métodos de Interpretación Jurídica. Recuperado el 24 de Julio de 2019, disponible en:  </w:t>
      </w:r>
      <w:hyperlink r:id="rId40" w:history="1">
        <w:r w:rsidRPr="00C86005">
          <w:rPr>
            <w:rStyle w:val="Hipervnculo"/>
            <w:rFonts w:ascii="Times New Roman" w:hAnsi="Times New Roman" w:cs="Times New Roman"/>
            <w:sz w:val="20"/>
            <w:szCs w:val="20"/>
          </w:rPr>
          <w:t>https://revistas-colaboracion.juridicas.unam.mx/index.php/quid-iuris/article/view/17406/15614</w:t>
        </w:r>
      </w:hyperlink>
      <w:r w:rsidRPr="00C86005">
        <w:rPr>
          <w:rFonts w:ascii="Times New Roman" w:hAnsi="Times New Roman" w:cs="Times New Roman"/>
          <w:sz w:val="20"/>
          <w:szCs w:val="20"/>
        </w:rPr>
        <w:t xml:space="preserve">  </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Bernales, E. (2012). La Constitución de 1993 veinte años después. Lima: Editorial Idemsa.</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Benavente Chorres, H., &amp; López Torees, R. (2010). Jurisprudencia Penal y Procesal Penal de Carácter Constitucional. Lima: Editorial Gaceta Jurídica S.A.</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lastRenderedPageBreak/>
        <w:t xml:space="preserve">Chávez, D. (2008). Conceptos y técnicas de Recolección de Datos en la Investigación Jurídico Social. Recuperado el 25 de Julio de 2019, disponible en: </w:t>
      </w:r>
      <w:hyperlink r:id="rId41" w:history="1">
        <w:r w:rsidRPr="00C86005">
          <w:rPr>
            <w:rStyle w:val="Hipervnculo"/>
            <w:rFonts w:ascii="Times New Roman" w:hAnsi="Times New Roman" w:cs="Times New Roman"/>
            <w:sz w:val="20"/>
            <w:szCs w:val="20"/>
          </w:rPr>
          <w:t>https://www.unifr.ch/ddp1/derechopenal/articulos/a_20080521_56.pdf</w:t>
        </w:r>
      </w:hyperlink>
      <w:r w:rsidRPr="00C86005">
        <w:rPr>
          <w:rFonts w:ascii="Times New Roman" w:hAnsi="Times New Roman" w:cs="Times New Roman"/>
          <w:sz w:val="20"/>
          <w:szCs w:val="20"/>
        </w:rPr>
        <w:t xml:space="preserve"> </w:t>
      </w:r>
    </w:p>
    <w:p w:rsidR="0017421D" w:rsidRPr="00C86005" w:rsidRDefault="004414E8"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Chirinos</w:t>
      </w:r>
      <w:r w:rsidR="0017421D" w:rsidRPr="00C86005">
        <w:rPr>
          <w:rFonts w:ascii="Times New Roman" w:hAnsi="Times New Roman" w:cs="Times New Roman"/>
          <w:sz w:val="20"/>
          <w:szCs w:val="20"/>
        </w:rPr>
        <w:t xml:space="preserve"> Soto, E., &amp; Chirinos Soto, F. (2007). La Constitución: Lectura y comentario. Lima: Editorial Rodhas SAC.</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 xml:space="preserve">Eguiguren, F. (2008). Antejuicio y juicio político en el Perú. Recuperado el 05 de Septiembre de 2019, disponible en: </w:t>
      </w:r>
      <w:hyperlink r:id="rId42" w:history="1">
        <w:r w:rsidRPr="00C86005">
          <w:rPr>
            <w:rStyle w:val="Hipervnculo"/>
            <w:rFonts w:ascii="Times New Roman" w:hAnsi="Times New Roman" w:cs="Times New Roman"/>
            <w:sz w:val="20"/>
            <w:szCs w:val="20"/>
          </w:rPr>
          <w:t>http://revistas.pucp.edu.pe/index.php/pensamientoconstitucional/article/download/1963/1895/</w:t>
        </w:r>
      </w:hyperlink>
      <w:r w:rsidRPr="00C86005">
        <w:rPr>
          <w:rFonts w:ascii="Times New Roman" w:hAnsi="Times New Roman" w:cs="Times New Roman"/>
          <w:sz w:val="20"/>
          <w:szCs w:val="20"/>
        </w:rPr>
        <w:t xml:space="preserve"> </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 xml:space="preserve">García, A. (2004). Naturaleza, características e inconvenientes de la acusación constitucional en el sistema de gobierno peruano. Recuperado el 03 de Septiembre de 2019, disponible en: </w:t>
      </w:r>
      <w:hyperlink r:id="rId43" w:history="1">
        <w:r w:rsidRPr="00C86005">
          <w:rPr>
            <w:rStyle w:val="Hipervnculo"/>
            <w:rFonts w:ascii="Times New Roman" w:hAnsi="Times New Roman" w:cs="Times New Roman"/>
            <w:sz w:val="20"/>
            <w:szCs w:val="20"/>
          </w:rPr>
          <w:t>http://revistas.pucp.edu.pe/index.php/iusetveritas/article/view/11778/12349</w:t>
        </w:r>
      </w:hyperlink>
      <w:r w:rsidRPr="00C86005">
        <w:rPr>
          <w:rFonts w:ascii="Times New Roman" w:hAnsi="Times New Roman" w:cs="Times New Roman"/>
          <w:sz w:val="20"/>
          <w:szCs w:val="20"/>
        </w:rPr>
        <w:t xml:space="preserve"> </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García, A. (2008). Acusación Constitucional y Debido Proceso. Lima: Jurista Editores.</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Ortecho, V. (2003). Estado y Ejercicio Constitucional. Lima: Marsol Perú Editores S.A.</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 xml:space="preserve">Pulido Polo, M. (2015). Ceremonial y Protocolo: métodos y técnicas de investigación científica. Redalyc.org, 1137-1156. Recuperado el 24 de Julio de 2019, disponible en: </w:t>
      </w:r>
      <w:hyperlink r:id="rId44" w:history="1">
        <w:r w:rsidRPr="00C86005">
          <w:rPr>
            <w:rStyle w:val="Hipervnculo"/>
            <w:rFonts w:ascii="Times New Roman" w:hAnsi="Times New Roman" w:cs="Times New Roman"/>
            <w:sz w:val="20"/>
            <w:szCs w:val="20"/>
          </w:rPr>
          <w:t>https://www.redalyc.org/pdf/310/31043005061.pdf</w:t>
        </w:r>
      </w:hyperlink>
      <w:r w:rsidRPr="00C86005">
        <w:rPr>
          <w:rFonts w:ascii="Times New Roman" w:hAnsi="Times New Roman" w:cs="Times New Roman"/>
          <w:sz w:val="20"/>
          <w:szCs w:val="20"/>
        </w:rPr>
        <w:t xml:space="preserve"> </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Sar, O. (2006). Constitución Política del Perú: Con la jurisprudencia, artículo por artículo, del Tribunal Constitucional. Lima: Editorial Nomos &amp; thesis.</w:t>
      </w:r>
    </w:p>
    <w:p w:rsidR="0017421D" w:rsidRPr="00C86005" w:rsidRDefault="0017421D" w:rsidP="0017421D">
      <w:pPr>
        <w:ind w:left="207" w:hanging="207"/>
        <w:jc w:val="both"/>
        <w:rPr>
          <w:rFonts w:ascii="Times New Roman" w:hAnsi="Times New Roman" w:cs="Times New Roman"/>
          <w:sz w:val="20"/>
          <w:szCs w:val="20"/>
        </w:rPr>
      </w:pPr>
      <w:r w:rsidRPr="00C86005">
        <w:rPr>
          <w:rFonts w:ascii="Times New Roman" w:hAnsi="Times New Roman" w:cs="Times New Roman"/>
          <w:sz w:val="20"/>
          <w:szCs w:val="20"/>
        </w:rPr>
        <w:t xml:space="preserve">Silva, L. (2017). Acusación constitucional y garantía política de la supremacía constitucional. Recuperado el 01 de Septiembre de 2019, disponible en: </w:t>
      </w:r>
      <w:hyperlink r:id="rId45" w:history="1">
        <w:r w:rsidRPr="00C86005">
          <w:rPr>
            <w:rStyle w:val="Hipervnculo"/>
            <w:rFonts w:ascii="Times New Roman" w:hAnsi="Times New Roman" w:cs="Times New Roman"/>
            <w:sz w:val="20"/>
            <w:szCs w:val="20"/>
          </w:rPr>
          <w:t>https://scielo.conicyt.cl/pdf/iusetp/v23n2/0718-0012-iusetp-23-02-00213.pdf</w:t>
        </w:r>
      </w:hyperlink>
      <w:r w:rsidRPr="00C86005">
        <w:rPr>
          <w:rFonts w:ascii="Times New Roman" w:hAnsi="Times New Roman" w:cs="Times New Roman"/>
          <w:sz w:val="20"/>
          <w:szCs w:val="20"/>
        </w:rPr>
        <w:t xml:space="preserve"> </w:t>
      </w:r>
    </w:p>
    <w:p w:rsidR="0017421D" w:rsidRPr="00C86005" w:rsidRDefault="0017421D" w:rsidP="0017421D">
      <w:pPr>
        <w:tabs>
          <w:tab w:val="left" w:pos="1047"/>
        </w:tabs>
        <w:ind w:left="360"/>
        <w:rPr>
          <w:rFonts w:ascii="Arial" w:hAnsi="Arial" w:cs="Arial"/>
          <w:b/>
          <w:bCs/>
          <w:sz w:val="18"/>
          <w:szCs w:val="18"/>
        </w:rPr>
      </w:pPr>
    </w:p>
    <w:p w:rsidR="0017421D" w:rsidRPr="00C86005" w:rsidRDefault="0017421D" w:rsidP="0017421D">
      <w:pPr>
        <w:tabs>
          <w:tab w:val="left" w:pos="1047"/>
        </w:tabs>
        <w:ind w:left="360"/>
        <w:rPr>
          <w:rFonts w:ascii="Arial" w:hAnsi="Arial" w:cs="Arial"/>
          <w:b/>
          <w:bCs/>
          <w:sz w:val="18"/>
          <w:szCs w:val="18"/>
        </w:rPr>
      </w:pPr>
    </w:p>
    <w:p w:rsidR="0017421D" w:rsidRPr="00C86005" w:rsidRDefault="0017421D" w:rsidP="0017421D">
      <w:pPr>
        <w:pStyle w:val="Prrafodelista"/>
        <w:tabs>
          <w:tab w:val="left" w:pos="1047"/>
        </w:tabs>
        <w:rPr>
          <w:rFonts w:ascii="Arial" w:hAnsi="Arial" w:cs="Arial"/>
          <w:b/>
          <w:bCs/>
          <w:sz w:val="18"/>
          <w:szCs w:val="18"/>
        </w:rPr>
      </w:pPr>
      <w:r w:rsidRPr="00C86005">
        <w:rPr>
          <w:rFonts w:ascii="Arial" w:hAnsi="Arial" w:cs="Arial"/>
          <w:b/>
          <w:bCs/>
          <w:sz w:val="18"/>
          <w:szCs w:val="18"/>
        </w:rPr>
        <w:tab/>
      </w:r>
    </w:p>
    <w:p w:rsidR="0017421D" w:rsidRPr="00C86005" w:rsidRDefault="0017421D" w:rsidP="0017421D">
      <w:pPr>
        <w:tabs>
          <w:tab w:val="left" w:pos="1047"/>
        </w:tabs>
        <w:rPr>
          <w:rFonts w:ascii="Times New Roman" w:hAnsi="Times New Roman" w:cs="Times New Roman"/>
          <w:sz w:val="18"/>
          <w:szCs w:val="18"/>
        </w:rPr>
      </w:pPr>
    </w:p>
    <w:p w:rsidR="00021E58" w:rsidRDefault="00021E58"/>
    <w:sectPr w:rsidR="00021E58" w:rsidSect="00C86005">
      <w:headerReference w:type="default" r:id="rId46"/>
      <w:pgSz w:w="11906" w:h="16838"/>
      <w:pgMar w:top="12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A4" w:rsidRDefault="00D048A4" w:rsidP="0017421D">
      <w:pPr>
        <w:spacing w:after="0" w:line="240" w:lineRule="auto"/>
      </w:pPr>
      <w:r>
        <w:separator/>
      </w:r>
    </w:p>
  </w:endnote>
  <w:endnote w:type="continuationSeparator" w:id="0">
    <w:p w:rsidR="00D048A4" w:rsidRDefault="00D048A4" w:rsidP="0017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1D" w:rsidRPr="005938F8" w:rsidRDefault="0017421D" w:rsidP="005938F8">
    <w:pPr>
      <w:pStyle w:val="Piedepgina"/>
    </w:pPr>
    <w:r w:rsidRPr="005938F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A4" w:rsidRDefault="00D048A4" w:rsidP="0017421D">
      <w:pPr>
        <w:spacing w:after="0" w:line="240" w:lineRule="auto"/>
      </w:pPr>
      <w:r>
        <w:separator/>
      </w:r>
    </w:p>
  </w:footnote>
  <w:footnote w:type="continuationSeparator" w:id="0">
    <w:p w:rsidR="00D048A4" w:rsidRDefault="00D048A4" w:rsidP="0017421D">
      <w:pPr>
        <w:spacing w:after="0" w:line="240" w:lineRule="auto"/>
      </w:pPr>
      <w:r>
        <w:continuationSeparator/>
      </w:r>
    </w:p>
  </w:footnote>
  <w:footnote w:id="1">
    <w:p w:rsidR="0017421D" w:rsidRDefault="0017421D" w:rsidP="0017421D">
      <w:pPr>
        <w:pStyle w:val="Textonotapie"/>
        <w:jc w:val="both"/>
        <w:rPr>
          <w:rFonts w:ascii="Times New Roman" w:hAnsi="Times New Roman"/>
          <w:sz w:val="18"/>
        </w:rPr>
      </w:pPr>
      <w:r>
        <w:rPr>
          <w:rStyle w:val="Refdenotaalpie"/>
          <w:rFonts w:ascii="Times New Roman" w:hAnsi="Times New Roman"/>
          <w:sz w:val="18"/>
        </w:rPr>
        <w:t>1</w:t>
      </w:r>
      <w:r w:rsidRPr="005938F8">
        <w:rPr>
          <w:rFonts w:ascii="Times New Roman" w:hAnsi="Times New Roman"/>
          <w:sz w:val="18"/>
        </w:rPr>
        <w:t xml:space="preserve">Maestro en Derecho Penal por la Universidad Privada Antenor Orrego. Candidato a obtener el grado de Doctor en la misma Universidad, con la Tesis Titulada: </w:t>
      </w:r>
      <w:r w:rsidRPr="005938F8">
        <w:rPr>
          <w:rFonts w:ascii="Times New Roman" w:hAnsi="Times New Roman"/>
          <w:b/>
          <w:sz w:val="18"/>
        </w:rPr>
        <w:t>“La garantía del principio de legalidad en el proceso de altos funcionarios del estado por infracción constitucional en el Perú”</w:t>
      </w:r>
      <w:r w:rsidRPr="005938F8">
        <w:rPr>
          <w:rFonts w:ascii="Times New Roman" w:hAnsi="Times New Roman"/>
          <w:sz w:val="18"/>
        </w:rPr>
        <w:t>.</w:t>
      </w:r>
    </w:p>
    <w:p w:rsidR="0017421D" w:rsidRPr="00945EF7" w:rsidRDefault="0017421D" w:rsidP="0017421D">
      <w:pPr>
        <w:pStyle w:val="Textonotapie"/>
        <w:jc w:val="both"/>
        <w:rPr>
          <w:rFonts w:ascii="Times New Roman" w:hAnsi="Times New Roman"/>
          <w:sz w:val="18"/>
          <w:lang w:val="es-MX"/>
        </w:rPr>
      </w:pPr>
      <w:r>
        <w:rPr>
          <w:rFonts w:ascii="Times New Roman" w:hAnsi="Times New Roman"/>
          <w:sz w:val="18"/>
          <w:vertAlign w:val="superscript"/>
          <w:lang w:val="es-MX"/>
        </w:rPr>
        <w:t>2</w:t>
      </w:r>
      <w:r w:rsidRPr="00945EF7">
        <w:rPr>
          <w:rFonts w:ascii="Times New Roman" w:hAnsi="Times New Roman"/>
          <w:sz w:val="18"/>
          <w:lang w:val="es-MX"/>
        </w:rPr>
        <w:t>Doctor en Derecho, Universidad Nacional de Trujillo; Maestro en Ciencias con mención en Gestión Ambiental; Ingeniero Agrónomo, Universidad Nacional de Tumbes; Docente de Pregrado y Postgrado de la Universidad Nacional de Tumbes; Docente de Postgrado de la UCV, de la UPAO y de la Universidad Nacional de Trujillo; director de la unidad de postgrado de Derecho de la Universidad Nacional de Tumbes – Perú. E-mail: vrojasl@untumbes.edu.pe ORCID:  https://orcid.org/0000-0002-8153-3882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1D" w:rsidRPr="0039294C" w:rsidRDefault="0017421D" w:rsidP="00FE09A7">
    <w:pPr>
      <w:tabs>
        <w:tab w:val="left" w:pos="1770"/>
        <w:tab w:val="left" w:pos="6663"/>
        <w:tab w:val="right" w:pos="8499"/>
      </w:tabs>
      <w:spacing w:before="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1E1" w:rsidRPr="0066124A" w:rsidRDefault="00D048A4" w:rsidP="006D3A3B">
    <w:pPr>
      <w:pStyle w:val="06encabezamiento"/>
      <w:jc w:val="center"/>
      <w:rPr>
        <w:vertAlign w:val="superscript"/>
      </w:rPr>
    </w:pPr>
  </w:p>
  <w:p w:rsidR="008F0B23" w:rsidRDefault="00D048A4" w:rsidP="008F0B23">
    <w:pPr>
      <w:pBdr>
        <w:top w:val="nil"/>
        <w:left w:val="nil"/>
        <w:bottom w:val="nil"/>
        <w:right w:val="nil"/>
        <w:between w:val="nil"/>
      </w:pBdr>
      <w:tabs>
        <w:tab w:val="center" w:pos="4252"/>
        <w:tab w:val="right" w:pos="8504"/>
      </w:tabs>
      <w:rPr>
        <w:rFonts w:ascii="Century Gothic" w:eastAsia="Century Gothic" w:hAnsi="Century Gothic" w:cs="Century Gothic"/>
        <w:color w:val="393A6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D77F"/>
      </v:shape>
    </w:pict>
  </w:numPicBullet>
  <w:abstractNum w:abstractNumId="0" w15:restartNumberingAfterBreak="0">
    <w:nsid w:val="2445164D"/>
    <w:multiLevelType w:val="hybridMultilevel"/>
    <w:tmpl w:val="662C0E4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4CA100BF"/>
    <w:multiLevelType w:val="hybridMultilevel"/>
    <w:tmpl w:val="B5D8D25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1D"/>
    <w:rsid w:val="00021E58"/>
    <w:rsid w:val="00105597"/>
    <w:rsid w:val="0017421D"/>
    <w:rsid w:val="001B3004"/>
    <w:rsid w:val="003F7BD6"/>
    <w:rsid w:val="004414E8"/>
    <w:rsid w:val="004D6541"/>
    <w:rsid w:val="00712B99"/>
    <w:rsid w:val="007935CF"/>
    <w:rsid w:val="00CE1851"/>
    <w:rsid w:val="00D048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9A0C-EBA8-45A0-B1E7-3A050CE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2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742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21D"/>
  </w:style>
  <w:style w:type="paragraph" w:styleId="Textonotapie">
    <w:name w:val="footnote text"/>
    <w:basedOn w:val="Normal"/>
    <w:link w:val="TextonotapieCar"/>
    <w:uiPriority w:val="99"/>
    <w:semiHidden/>
    <w:unhideWhenUsed/>
    <w:rsid w:val="001742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421D"/>
    <w:rPr>
      <w:sz w:val="20"/>
      <w:szCs w:val="20"/>
    </w:rPr>
  </w:style>
  <w:style w:type="character" w:styleId="Refdenotaalpie">
    <w:name w:val="footnote reference"/>
    <w:basedOn w:val="Fuentedeprrafopredeter"/>
    <w:uiPriority w:val="99"/>
    <w:semiHidden/>
    <w:unhideWhenUsed/>
    <w:rsid w:val="0017421D"/>
    <w:rPr>
      <w:vertAlign w:val="superscript"/>
    </w:rPr>
  </w:style>
  <w:style w:type="paragraph" w:styleId="Sinespaciado">
    <w:name w:val="No Spacing"/>
    <w:uiPriority w:val="1"/>
    <w:qFormat/>
    <w:rsid w:val="0017421D"/>
    <w:pPr>
      <w:spacing w:after="0" w:line="240" w:lineRule="auto"/>
    </w:pPr>
  </w:style>
  <w:style w:type="paragraph" w:styleId="Prrafodelista">
    <w:name w:val="List Paragraph"/>
    <w:basedOn w:val="Normal"/>
    <w:uiPriority w:val="34"/>
    <w:qFormat/>
    <w:rsid w:val="0017421D"/>
    <w:pPr>
      <w:ind w:left="720"/>
      <w:contextualSpacing/>
    </w:pPr>
  </w:style>
  <w:style w:type="paragraph" w:customStyle="1" w:styleId="06encabezamiento">
    <w:name w:val="06. encabezamiento"/>
    <w:autoRedefine/>
    <w:qFormat/>
    <w:rsid w:val="0017421D"/>
    <w:pPr>
      <w:spacing w:after="0" w:line="240" w:lineRule="exact"/>
      <w:jc w:val="right"/>
    </w:pPr>
    <w:rPr>
      <w:rFonts w:ascii="Times New Roman" w:eastAsia="MS Mincho" w:hAnsi="Times New Roman" w:cs="Times New Roman"/>
      <w:sz w:val="16"/>
      <w:szCs w:val="16"/>
      <w:lang w:val="pt-BR" w:eastAsia="pt-BR"/>
    </w:rPr>
  </w:style>
  <w:style w:type="character" w:styleId="Hipervnculo">
    <w:name w:val="Hyperlink"/>
    <w:basedOn w:val="Fuentedeprrafopredeter"/>
    <w:uiPriority w:val="99"/>
    <w:unhideWhenUsed/>
    <w:rsid w:val="00174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hyperlink" Target="http://revistas.pucp.edu.pe/index.php/pensamientoconstitucional/article/download/1963/189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yperlink" Target="https://www.unifr.ch/ddp1/derechopenal/articulos/a_20080521_5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hyperlink" Target="https://revistas-colaboracion.juridicas.unam.mx/index.php/quid-iuris/article/view/17406/15614" TargetMode="External"/><Relationship Id="rId45" Type="http://schemas.openxmlformats.org/officeDocument/2006/relationships/hyperlink" Target="https://scielo.conicyt.cl/pdf/iusetp/v23n2/0718-0012-iusetp-23-02-00213.pdf"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hyperlink" Target="https://www.redalyc.org/pdf/310/31043005061.pdf"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hyperlink" Target="http://revistas.pucp.edu.pe/index.php/iusetveritas/article/view/11778/12349"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ACAEE-0DD4-42A2-BD60-59EF49E5FB4C}" type="doc">
      <dgm:prSet loTypeId="urn:microsoft.com/office/officeart/2008/layout/LinedList" loCatId="hierarchy" qsTypeId="urn:microsoft.com/office/officeart/2005/8/quickstyle/simple1" qsCatId="simple" csTypeId="urn:microsoft.com/office/officeart/2005/8/colors/accent0_1" csCatId="mainScheme" phldr="1"/>
      <dgm:spPr/>
      <dgm:t>
        <a:bodyPr/>
        <a:lstStyle/>
        <a:p>
          <a:endParaRPr lang="es-PE"/>
        </a:p>
      </dgm:t>
    </dgm:pt>
    <dgm:pt modelId="{5F13E733-FAE0-4A93-8787-D9B77AF84FD7}">
      <dgm:prSet phldrT="[Texto]" custT="1"/>
      <dgm:spPr>
        <a:xfrm>
          <a:off x="0" y="1503"/>
          <a:ext cx="796684" cy="3076108"/>
        </a:xfrm>
        <a:prstGeom prst="rect">
          <a:avLst/>
        </a:prstGeom>
        <a:noFill/>
        <a:ln>
          <a:noFill/>
        </a:ln>
        <a:effectLst/>
      </dgm:spPr>
      <dgm:t>
        <a:bodyPr/>
        <a:lstStyle/>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D</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O</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C</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T</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R</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I</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N</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A</a:t>
          </a:r>
        </a:p>
        <a:p>
          <a:pPr algn="ctr"/>
          <a:endParaRPr lang="es-PE" sz="1000" b="1">
            <a:solidFill>
              <a:sysClr val="windowText" lastClr="000000"/>
            </a:solidFill>
            <a:latin typeface="Times New Roman" panose="02020603050405020304" pitchFamily="18" charset="0"/>
            <a:ea typeface="+mn-ea"/>
            <a:cs typeface="Times New Roman" panose="02020603050405020304" pitchFamily="18" charset="0"/>
          </a:endParaRP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N</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A</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C</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I</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O</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N</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A</a:t>
          </a:r>
        </a:p>
        <a:p>
          <a:pPr algn="ctr"/>
          <a:r>
            <a:rPr lang="es-PE" sz="1000" b="1">
              <a:solidFill>
                <a:sysClr val="windowText" lastClr="000000"/>
              </a:solidFill>
              <a:latin typeface="Times New Roman" panose="02020603050405020304" pitchFamily="18" charset="0"/>
              <a:ea typeface="+mn-ea"/>
              <a:cs typeface="Times New Roman" panose="02020603050405020304" pitchFamily="18" charset="0"/>
            </a:rPr>
            <a:t>L</a:t>
          </a:r>
          <a:endParaRPr lang="es-PE" sz="1100" b="1">
            <a:solidFill>
              <a:sysClr val="windowText" lastClr="000000"/>
            </a:solidFill>
            <a:latin typeface="Times New Roman" panose="02020603050405020304" pitchFamily="18" charset="0"/>
            <a:ea typeface="+mn-ea"/>
            <a:cs typeface="Times New Roman" panose="02020603050405020304" pitchFamily="18" charset="0"/>
          </a:endParaRPr>
        </a:p>
        <a:p>
          <a:pPr algn="ctr"/>
          <a:endParaRPr lang="es-PE"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7C6FF6B-DCBA-43AD-A497-DD7C686D0EF3}" type="parTrans" cxnId="{4279DBF1-ACD7-4007-A04F-FC46761F41FF}">
      <dgm:prSet/>
      <dgm:spPr/>
      <dgm:t>
        <a:bodyPr/>
        <a:lstStyle/>
        <a:p>
          <a:pPr algn="ctr"/>
          <a:endParaRPr lang="es-PE" sz="1800"/>
        </a:p>
      </dgm:t>
    </dgm:pt>
    <dgm:pt modelId="{D96FE0DF-5909-4E5A-955A-18882AAB33B0}" type="sibTrans" cxnId="{4279DBF1-ACD7-4007-A04F-FC46761F41FF}">
      <dgm:prSet/>
      <dgm:spPr/>
      <dgm:t>
        <a:bodyPr/>
        <a:lstStyle/>
        <a:p>
          <a:pPr algn="ctr"/>
          <a:endParaRPr lang="es-PE" sz="1800"/>
        </a:p>
      </dgm:t>
    </dgm:pt>
    <dgm:pt modelId="{4B54D511-ACC9-41D0-855D-2084FF181B22}">
      <dgm:prSet phldrT="[Texto]" custT="1"/>
      <dgm:spPr>
        <a:xfrm>
          <a:off x="856435" y="37664"/>
          <a:ext cx="3126985" cy="723215"/>
        </a:xfrm>
        <a:prstGeom prst="rect">
          <a:avLst/>
        </a:prstGeom>
        <a:noFill/>
        <a:ln>
          <a:noFill/>
        </a:ln>
        <a:effectLst/>
      </dgm:spPr>
      <dgm:t>
        <a:bodyPr/>
        <a:lstStyle/>
        <a:p>
          <a:pPr algn="ctr"/>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Santistevan De Noriega, Jorge, menciona que: "el juicio político seguido al alto funcionario por violación a la Constitución y el antejucio que a este se le somete en caso de delito han consttuido siempre una misma unidad y una misma institución". </a:t>
          </a:r>
        </a:p>
      </dgm:t>
    </dgm:pt>
    <dgm:pt modelId="{81CE748D-C7A1-42FA-9CB3-206D3C281098}" type="parTrans" cxnId="{FF011504-8876-4E12-9F94-9F3297535A1D}">
      <dgm:prSet/>
      <dgm:spPr/>
      <dgm:t>
        <a:bodyPr/>
        <a:lstStyle/>
        <a:p>
          <a:pPr algn="ctr"/>
          <a:endParaRPr lang="es-PE" sz="1800"/>
        </a:p>
      </dgm:t>
    </dgm:pt>
    <dgm:pt modelId="{B1F10108-B041-408D-BBE1-81282D98990A}" type="sibTrans" cxnId="{FF011504-8876-4E12-9F94-9F3297535A1D}">
      <dgm:prSet/>
      <dgm:spPr/>
      <dgm:t>
        <a:bodyPr/>
        <a:lstStyle/>
        <a:p>
          <a:pPr algn="ctr"/>
          <a:endParaRPr lang="es-PE" sz="1800"/>
        </a:p>
      </dgm:t>
    </dgm:pt>
    <dgm:pt modelId="{6C8E5096-569E-4D97-8C8C-8B3EAB44927D}">
      <dgm:prSet phldrT="[Texto]" custT="1"/>
      <dgm:spPr>
        <a:xfrm>
          <a:off x="856435" y="797040"/>
          <a:ext cx="3126985" cy="723215"/>
        </a:xfrm>
        <a:prstGeom prst="rect">
          <a:avLst/>
        </a:prstGeom>
        <a:noFill/>
        <a:ln>
          <a:noFill/>
        </a:ln>
        <a:effectLst/>
      </dgm:spPr>
      <dgm:t>
        <a:bodyPr/>
        <a:lstStyle/>
        <a:p>
          <a:pPr algn="ctr"/>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Chirinos Soto, sostiene que,"Una acusación por infracción  a  la constitución, es un jucio politico pues son consecuencias politicas derivadas del ámbito de funciones".</a:t>
          </a:r>
        </a:p>
      </dgm:t>
    </dgm:pt>
    <dgm:pt modelId="{09CB2173-06DC-4A22-9ADB-433379ADE6A5}" type="parTrans" cxnId="{46C57094-78D3-466D-9404-C654E564E5E5}">
      <dgm:prSet/>
      <dgm:spPr/>
      <dgm:t>
        <a:bodyPr/>
        <a:lstStyle/>
        <a:p>
          <a:pPr algn="ctr"/>
          <a:endParaRPr lang="es-PE" sz="1800"/>
        </a:p>
      </dgm:t>
    </dgm:pt>
    <dgm:pt modelId="{D1B2962B-DE32-41E0-ABCA-426316D5AB60}" type="sibTrans" cxnId="{46C57094-78D3-466D-9404-C654E564E5E5}">
      <dgm:prSet/>
      <dgm:spPr/>
      <dgm:t>
        <a:bodyPr/>
        <a:lstStyle/>
        <a:p>
          <a:pPr algn="ctr"/>
          <a:endParaRPr lang="es-PE" sz="1800"/>
        </a:p>
      </dgm:t>
    </dgm:pt>
    <dgm:pt modelId="{15347250-44D2-4D99-85D0-A89723154E59}">
      <dgm:prSet phldrT="[Texto]" custT="1"/>
      <dgm:spPr>
        <a:xfrm>
          <a:off x="856435" y="1556417"/>
          <a:ext cx="3126985" cy="723215"/>
        </a:xfrm>
        <a:prstGeom prst="rect">
          <a:avLst/>
        </a:prstGeom>
        <a:noFill/>
        <a:ln>
          <a:noFill/>
        </a:ln>
        <a:effectLst/>
      </dgm:spPr>
      <dgm:t>
        <a:bodyPr/>
        <a:lstStyle/>
        <a:p>
          <a:pPr algn="ctr"/>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Bernales Ballesteros, Enrique, sostiene que:"Admitiendo que en realidad todo y cada uno de los artículos constitucionales podrían constituir el catálogo de posibles contravenciones susceptibles de acusación por infracción a la Constitución". </a:t>
          </a:r>
        </a:p>
      </dgm:t>
    </dgm:pt>
    <dgm:pt modelId="{F31896F6-5953-488E-A4B0-54D6B89D2987}" type="parTrans" cxnId="{20F7192D-BE6C-41D8-B33E-40E49F54B997}">
      <dgm:prSet/>
      <dgm:spPr/>
      <dgm:t>
        <a:bodyPr/>
        <a:lstStyle/>
        <a:p>
          <a:pPr algn="ctr"/>
          <a:endParaRPr lang="es-PE" sz="1800"/>
        </a:p>
      </dgm:t>
    </dgm:pt>
    <dgm:pt modelId="{4B247037-25D7-4A42-9E24-E25A8752AC9E}" type="sibTrans" cxnId="{20F7192D-BE6C-41D8-B33E-40E49F54B997}">
      <dgm:prSet/>
      <dgm:spPr/>
      <dgm:t>
        <a:bodyPr/>
        <a:lstStyle/>
        <a:p>
          <a:pPr algn="ctr"/>
          <a:endParaRPr lang="es-PE" sz="1800"/>
        </a:p>
      </dgm:t>
    </dgm:pt>
    <dgm:pt modelId="{D9C053F5-1787-48F9-B1B1-C699507685B3}">
      <dgm:prSet phldrT="[Texto]" custT="1"/>
      <dgm:spPr>
        <a:xfrm>
          <a:off x="856435" y="2315794"/>
          <a:ext cx="3126985" cy="723215"/>
        </a:xfrm>
        <a:prstGeom prst="rect">
          <a:avLst/>
        </a:prstGeom>
        <a:noFill/>
        <a:ln>
          <a:noFill/>
        </a:ln>
        <a:effectLst/>
      </dgm:spPr>
      <dgm:t>
        <a:bodyPr/>
        <a:lstStyle/>
        <a:p>
          <a:pPr algn="ctr"/>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Eguiguren Praeli, Franscisco, meciona que: "Si bien este proceso incluye a funcionarios de algunos nuevos organos constitucionalmente autónomos que fueron creados con la Constitución del 93, pero a diferencia de la Constitución del 79, el listado admite la posibilidad de extenderlo a otros funcionarios".</a:t>
          </a:r>
        </a:p>
      </dgm:t>
    </dgm:pt>
    <dgm:pt modelId="{786863AF-6C35-4B2B-85F4-C1FCDB8AF58C}" type="parTrans" cxnId="{401A1934-5DD2-431F-B1CD-BAD84E6DDE48}">
      <dgm:prSet/>
      <dgm:spPr/>
      <dgm:t>
        <a:bodyPr/>
        <a:lstStyle/>
        <a:p>
          <a:pPr algn="ctr"/>
          <a:endParaRPr lang="es-PE" sz="1800"/>
        </a:p>
      </dgm:t>
    </dgm:pt>
    <dgm:pt modelId="{50E90991-8F99-491F-A8B5-208675B3DED0}" type="sibTrans" cxnId="{401A1934-5DD2-431F-B1CD-BAD84E6DDE48}">
      <dgm:prSet/>
      <dgm:spPr/>
      <dgm:t>
        <a:bodyPr/>
        <a:lstStyle/>
        <a:p>
          <a:pPr algn="ctr"/>
          <a:endParaRPr lang="es-PE" sz="1800"/>
        </a:p>
      </dgm:t>
    </dgm:pt>
    <dgm:pt modelId="{BACC9AFF-6A4B-4CDE-80AE-CF9641680849}" type="pres">
      <dgm:prSet presAssocID="{306ACAEE-0DD4-42A2-BD60-59EF49E5FB4C}" presName="vert0" presStyleCnt="0">
        <dgm:presLayoutVars>
          <dgm:dir/>
          <dgm:animOne val="branch"/>
          <dgm:animLvl val="lvl"/>
        </dgm:presLayoutVars>
      </dgm:prSet>
      <dgm:spPr/>
    </dgm:pt>
    <dgm:pt modelId="{033E9FD0-93C6-4AE6-9531-918932A56607}" type="pres">
      <dgm:prSet presAssocID="{5F13E733-FAE0-4A93-8787-D9B77AF84FD7}" presName="thickLine" presStyleLbl="alignNode1" presStyleIdx="0" presStyleCnt="1"/>
      <dgm:spPr>
        <a:xfrm>
          <a:off x="0" y="1503"/>
          <a:ext cx="3983421" cy="0"/>
        </a:xfrm>
        <a:prstGeom prst="lin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pt>
    <dgm:pt modelId="{B10FBA5B-E4EE-4107-82C7-FE68164AA194}" type="pres">
      <dgm:prSet presAssocID="{5F13E733-FAE0-4A93-8787-D9B77AF84FD7}" presName="horz1" presStyleCnt="0"/>
      <dgm:spPr/>
    </dgm:pt>
    <dgm:pt modelId="{3C9E73AA-0EDB-4CE2-8BE5-1E49F7EF77FC}" type="pres">
      <dgm:prSet presAssocID="{5F13E733-FAE0-4A93-8787-D9B77AF84FD7}" presName="tx1" presStyleLbl="revTx" presStyleIdx="0" presStyleCnt="5" custAng="0"/>
      <dgm:spPr/>
    </dgm:pt>
    <dgm:pt modelId="{B3F03B23-4F0B-463B-80B4-68B3E413A807}" type="pres">
      <dgm:prSet presAssocID="{5F13E733-FAE0-4A93-8787-D9B77AF84FD7}" presName="vert1" presStyleCnt="0"/>
      <dgm:spPr/>
    </dgm:pt>
    <dgm:pt modelId="{30EFEA26-6C81-4C17-BED9-5C9AC92238CA}" type="pres">
      <dgm:prSet presAssocID="{4B54D511-ACC9-41D0-855D-2084FF181B22}" presName="vertSpace2a" presStyleCnt="0"/>
      <dgm:spPr/>
    </dgm:pt>
    <dgm:pt modelId="{CBF79173-FADC-43F4-9252-E1E3BC6D3B20}" type="pres">
      <dgm:prSet presAssocID="{4B54D511-ACC9-41D0-855D-2084FF181B22}" presName="horz2" presStyleCnt="0"/>
      <dgm:spPr/>
    </dgm:pt>
    <dgm:pt modelId="{50E3F201-296F-4F9A-9756-B2D7460E5985}" type="pres">
      <dgm:prSet presAssocID="{4B54D511-ACC9-41D0-855D-2084FF181B22}" presName="horzSpace2" presStyleCnt="0"/>
      <dgm:spPr/>
    </dgm:pt>
    <dgm:pt modelId="{B16CD26A-D747-4F19-BF51-99C678718522}" type="pres">
      <dgm:prSet presAssocID="{4B54D511-ACC9-41D0-855D-2084FF181B22}" presName="tx2" presStyleLbl="revTx" presStyleIdx="1" presStyleCnt="5"/>
      <dgm:spPr/>
    </dgm:pt>
    <dgm:pt modelId="{5EA2F242-3DB7-41E9-9293-1FDD1504DBC1}" type="pres">
      <dgm:prSet presAssocID="{4B54D511-ACC9-41D0-855D-2084FF181B22}" presName="vert2" presStyleCnt="0"/>
      <dgm:spPr/>
    </dgm:pt>
    <dgm:pt modelId="{C033A98E-2734-4C1A-9C98-758A1B423C95}" type="pres">
      <dgm:prSet presAssocID="{4B54D511-ACC9-41D0-855D-2084FF181B22}" presName="thinLine2b" presStyleLbl="callout" presStyleIdx="0" presStyleCnt="4"/>
      <dgm:spPr>
        <a:xfrm>
          <a:off x="796684" y="760880"/>
          <a:ext cx="3186736"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F85CF7D3-B764-4AAC-A701-B18945FDE02A}" type="pres">
      <dgm:prSet presAssocID="{4B54D511-ACC9-41D0-855D-2084FF181B22}" presName="vertSpace2b" presStyleCnt="0"/>
      <dgm:spPr/>
    </dgm:pt>
    <dgm:pt modelId="{38A77B3B-7025-4601-A3E4-4092C2C5D4AC}" type="pres">
      <dgm:prSet presAssocID="{6C8E5096-569E-4D97-8C8C-8B3EAB44927D}" presName="horz2" presStyleCnt="0"/>
      <dgm:spPr/>
    </dgm:pt>
    <dgm:pt modelId="{DB6E0834-FF37-4418-B002-7EBBA531FDB8}" type="pres">
      <dgm:prSet presAssocID="{6C8E5096-569E-4D97-8C8C-8B3EAB44927D}" presName="horzSpace2" presStyleCnt="0"/>
      <dgm:spPr/>
    </dgm:pt>
    <dgm:pt modelId="{3154E3D2-C82B-4EBB-B21B-D2CAD792AB60}" type="pres">
      <dgm:prSet presAssocID="{6C8E5096-569E-4D97-8C8C-8B3EAB44927D}" presName="tx2" presStyleLbl="revTx" presStyleIdx="2" presStyleCnt="5"/>
      <dgm:spPr/>
    </dgm:pt>
    <dgm:pt modelId="{6F97BB33-A566-4F73-8428-A034F9D7E53F}" type="pres">
      <dgm:prSet presAssocID="{6C8E5096-569E-4D97-8C8C-8B3EAB44927D}" presName="vert2" presStyleCnt="0"/>
      <dgm:spPr/>
    </dgm:pt>
    <dgm:pt modelId="{2F431A31-A473-4BDB-A6C8-26DFBD9F1A98}" type="pres">
      <dgm:prSet presAssocID="{6C8E5096-569E-4D97-8C8C-8B3EAB44927D}" presName="thinLine2b" presStyleLbl="callout" presStyleIdx="1" presStyleCnt="4"/>
      <dgm:spPr>
        <a:xfrm>
          <a:off x="796684" y="1520256"/>
          <a:ext cx="3186736"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E0DFDB4D-955F-40A7-A71F-4201EE20CC8A}" type="pres">
      <dgm:prSet presAssocID="{6C8E5096-569E-4D97-8C8C-8B3EAB44927D}" presName="vertSpace2b" presStyleCnt="0"/>
      <dgm:spPr/>
    </dgm:pt>
    <dgm:pt modelId="{F63285F2-9427-41CD-B955-CA537003D4B0}" type="pres">
      <dgm:prSet presAssocID="{15347250-44D2-4D99-85D0-A89723154E59}" presName="horz2" presStyleCnt="0"/>
      <dgm:spPr/>
    </dgm:pt>
    <dgm:pt modelId="{92EBE25B-15B1-4B83-B771-F33A0F4C495B}" type="pres">
      <dgm:prSet presAssocID="{15347250-44D2-4D99-85D0-A89723154E59}" presName="horzSpace2" presStyleCnt="0"/>
      <dgm:spPr/>
    </dgm:pt>
    <dgm:pt modelId="{EF3CCBE4-DE81-44C2-A00D-2EB389CE5B65}" type="pres">
      <dgm:prSet presAssocID="{15347250-44D2-4D99-85D0-A89723154E59}" presName="tx2" presStyleLbl="revTx" presStyleIdx="3" presStyleCnt="5"/>
      <dgm:spPr/>
    </dgm:pt>
    <dgm:pt modelId="{14999E65-FDC4-4836-AB12-7D3CADDE5AA1}" type="pres">
      <dgm:prSet presAssocID="{15347250-44D2-4D99-85D0-A89723154E59}" presName="vert2" presStyleCnt="0"/>
      <dgm:spPr/>
    </dgm:pt>
    <dgm:pt modelId="{5BACCA6C-3861-469A-978D-C12A49172A11}" type="pres">
      <dgm:prSet presAssocID="{15347250-44D2-4D99-85D0-A89723154E59}" presName="thinLine2b" presStyleLbl="callout" presStyleIdx="2" presStyleCnt="4"/>
      <dgm:spPr>
        <a:xfrm>
          <a:off x="796684" y="2279633"/>
          <a:ext cx="3186736"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84EB68C5-BFAC-436C-A45F-454730D19FA9}" type="pres">
      <dgm:prSet presAssocID="{15347250-44D2-4D99-85D0-A89723154E59}" presName="vertSpace2b" presStyleCnt="0"/>
      <dgm:spPr/>
    </dgm:pt>
    <dgm:pt modelId="{6BA09378-C745-4FBD-85AF-0BB6C396B8D1}" type="pres">
      <dgm:prSet presAssocID="{D9C053F5-1787-48F9-B1B1-C699507685B3}" presName="horz2" presStyleCnt="0"/>
      <dgm:spPr/>
    </dgm:pt>
    <dgm:pt modelId="{8D5019CD-75E2-4647-BEE5-40412BE3B625}" type="pres">
      <dgm:prSet presAssocID="{D9C053F5-1787-48F9-B1B1-C699507685B3}" presName="horzSpace2" presStyleCnt="0"/>
      <dgm:spPr/>
    </dgm:pt>
    <dgm:pt modelId="{B0766494-1EC3-4080-933F-F0D3DADF96E5}" type="pres">
      <dgm:prSet presAssocID="{D9C053F5-1787-48F9-B1B1-C699507685B3}" presName="tx2" presStyleLbl="revTx" presStyleIdx="4" presStyleCnt="5"/>
      <dgm:spPr/>
    </dgm:pt>
    <dgm:pt modelId="{81BEF043-A04F-4E89-993F-FC77F0C4641E}" type="pres">
      <dgm:prSet presAssocID="{D9C053F5-1787-48F9-B1B1-C699507685B3}" presName="vert2" presStyleCnt="0"/>
      <dgm:spPr/>
    </dgm:pt>
    <dgm:pt modelId="{E911174D-B847-491C-A9EC-A941FAE01C1C}" type="pres">
      <dgm:prSet presAssocID="{D9C053F5-1787-48F9-B1B1-C699507685B3}" presName="thinLine2b" presStyleLbl="callout" presStyleIdx="3" presStyleCnt="4"/>
      <dgm:spPr>
        <a:xfrm>
          <a:off x="796684" y="3039009"/>
          <a:ext cx="3186736"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gm:spPr>
    </dgm:pt>
    <dgm:pt modelId="{633B538E-2182-4E14-AA93-DEB5E5A7718F}" type="pres">
      <dgm:prSet presAssocID="{D9C053F5-1787-48F9-B1B1-C699507685B3}" presName="vertSpace2b" presStyleCnt="0"/>
      <dgm:spPr/>
    </dgm:pt>
  </dgm:ptLst>
  <dgm:cxnLst>
    <dgm:cxn modelId="{FF011504-8876-4E12-9F94-9F3297535A1D}" srcId="{5F13E733-FAE0-4A93-8787-D9B77AF84FD7}" destId="{4B54D511-ACC9-41D0-855D-2084FF181B22}" srcOrd="0" destOrd="0" parTransId="{81CE748D-C7A1-42FA-9CB3-206D3C281098}" sibTransId="{B1F10108-B041-408D-BBE1-81282D98990A}"/>
    <dgm:cxn modelId="{0E6AED2C-61AF-448B-B3BA-CB87D8B9B725}" type="presOf" srcId="{6C8E5096-569E-4D97-8C8C-8B3EAB44927D}" destId="{3154E3D2-C82B-4EBB-B21B-D2CAD792AB60}" srcOrd="0" destOrd="0" presId="urn:microsoft.com/office/officeart/2008/layout/LinedList"/>
    <dgm:cxn modelId="{20F7192D-BE6C-41D8-B33E-40E49F54B997}" srcId="{5F13E733-FAE0-4A93-8787-D9B77AF84FD7}" destId="{15347250-44D2-4D99-85D0-A89723154E59}" srcOrd="2" destOrd="0" parTransId="{F31896F6-5953-488E-A4B0-54D6B89D2987}" sibTransId="{4B247037-25D7-4A42-9E24-E25A8752AC9E}"/>
    <dgm:cxn modelId="{401A1934-5DD2-431F-B1CD-BAD84E6DDE48}" srcId="{5F13E733-FAE0-4A93-8787-D9B77AF84FD7}" destId="{D9C053F5-1787-48F9-B1B1-C699507685B3}" srcOrd="3" destOrd="0" parTransId="{786863AF-6C35-4B2B-85F4-C1FCDB8AF58C}" sibTransId="{50E90991-8F99-491F-A8B5-208675B3DED0}"/>
    <dgm:cxn modelId="{0198C43F-0C5F-46F1-9214-EAFDA4001E1F}" type="presOf" srcId="{D9C053F5-1787-48F9-B1B1-C699507685B3}" destId="{B0766494-1EC3-4080-933F-F0D3DADF96E5}" srcOrd="0" destOrd="0" presId="urn:microsoft.com/office/officeart/2008/layout/LinedList"/>
    <dgm:cxn modelId="{43228C63-9800-4BA7-A466-C5C6AB63E20A}" type="presOf" srcId="{15347250-44D2-4D99-85D0-A89723154E59}" destId="{EF3CCBE4-DE81-44C2-A00D-2EB389CE5B65}" srcOrd="0" destOrd="0" presId="urn:microsoft.com/office/officeart/2008/layout/LinedList"/>
    <dgm:cxn modelId="{CEBB8F6E-A80E-4DC9-B850-4BABD0341B7B}" type="presOf" srcId="{4B54D511-ACC9-41D0-855D-2084FF181B22}" destId="{B16CD26A-D747-4F19-BF51-99C678718522}" srcOrd="0" destOrd="0" presId="urn:microsoft.com/office/officeart/2008/layout/LinedList"/>
    <dgm:cxn modelId="{7DF64153-5ED4-4F08-8F93-D6CC1E69A184}" type="presOf" srcId="{306ACAEE-0DD4-42A2-BD60-59EF49E5FB4C}" destId="{BACC9AFF-6A4B-4CDE-80AE-CF9641680849}" srcOrd="0" destOrd="0" presId="urn:microsoft.com/office/officeart/2008/layout/LinedList"/>
    <dgm:cxn modelId="{46C57094-78D3-466D-9404-C654E564E5E5}" srcId="{5F13E733-FAE0-4A93-8787-D9B77AF84FD7}" destId="{6C8E5096-569E-4D97-8C8C-8B3EAB44927D}" srcOrd="1" destOrd="0" parTransId="{09CB2173-06DC-4A22-9ADB-433379ADE6A5}" sibTransId="{D1B2962B-DE32-41E0-ABCA-426316D5AB60}"/>
    <dgm:cxn modelId="{C78F70C9-8474-48EC-9BBB-F4ECD5EEA4F1}" type="presOf" srcId="{5F13E733-FAE0-4A93-8787-D9B77AF84FD7}" destId="{3C9E73AA-0EDB-4CE2-8BE5-1E49F7EF77FC}" srcOrd="0" destOrd="0" presId="urn:microsoft.com/office/officeart/2008/layout/LinedList"/>
    <dgm:cxn modelId="{4279DBF1-ACD7-4007-A04F-FC46761F41FF}" srcId="{306ACAEE-0DD4-42A2-BD60-59EF49E5FB4C}" destId="{5F13E733-FAE0-4A93-8787-D9B77AF84FD7}" srcOrd="0" destOrd="0" parTransId="{A7C6FF6B-DCBA-43AD-A497-DD7C686D0EF3}" sibTransId="{D96FE0DF-5909-4E5A-955A-18882AAB33B0}"/>
    <dgm:cxn modelId="{424E9C79-01A0-444D-AA82-6D216B742645}" type="presParOf" srcId="{BACC9AFF-6A4B-4CDE-80AE-CF9641680849}" destId="{033E9FD0-93C6-4AE6-9531-918932A56607}" srcOrd="0" destOrd="0" presId="urn:microsoft.com/office/officeart/2008/layout/LinedList"/>
    <dgm:cxn modelId="{3ECEE31B-FEE4-43BA-841F-DD1B0B2F2E3D}" type="presParOf" srcId="{BACC9AFF-6A4B-4CDE-80AE-CF9641680849}" destId="{B10FBA5B-E4EE-4107-82C7-FE68164AA194}" srcOrd="1" destOrd="0" presId="urn:microsoft.com/office/officeart/2008/layout/LinedList"/>
    <dgm:cxn modelId="{D1BE9AA2-0EEA-4C06-968E-C375035D0F04}" type="presParOf" srcId="{B10FBA5B-E4EE-4107-82C7-FE68164AA194}" destId="{3C9E73AA-0EDB-4CE2-8BE5-1E49F7EF77FC}" srcOrd="0" destOrd="0" presId="urn:microsoft.com/office/officeart/2008/layout/LinedList"/>
    <dgm:cxn modelId="{C8B46A81-25C5-4273-8BBB-1550E940301C}" type="presParOf" srcId="{B10FBA5B-E4EE-4107-82C7-FE68164AA194}" destId="{B3F03B23-4F0B-463B-80B4-68B3E413A807}" srcOrd="1" destOrd="0" presId="urn:microsoft.com/office/officeart/2008/layout/LinedList"/>
    <dgm:cxn modelId="{685D2D05-0DD9-48D3-8ED8-DFAF1E53BD7A}" type="presParOf" srcId="{B3F03B23-4F0B-463B-80B4-68B3E413A807}" destId="{30EFEA26-6C81-4C17-BED9-5C9AC92238CA}" srcOrd="0" destOrd="0" presId="urn:microsoft.com/office/officeart/2008/layout/LinedList"/>
    <dgm:cxn modelId="{5876212A-9CE2-4442-8B3B-C2F8FD07CDB6}" type="presParOf" srcId="{B3F03B23-4F0B-463B-80B4-68B3E413A807}" destId="{CBF79173-FADC-43F4-9252-E1E3BC6D3B20}" srcOrd="1" destOrd="0" presId="urn:microsoft.com/office/officeart/2008/layout/LinedList"/>
    <dgm:cxn modelId="{BFE4DAF8-CDF3-426C-979C-6C20956B3583}" type="presParOf" srcId="{CBF79173-FADC-43F4-9252-E1E3BC6D3B20}" destId="{50E3F201-296F-4F9A-9756-B2D7460E5985}" srcOrd="0" destOrd="0" presId="urn:microsoft.com/office/officeart/2008/layout/LinedList"/>
    <dgm:cxn modelId="{405AA6AF-62D1-4FFA-9C69-F54F0EDE9069}" type="presParOf" srcId="{CBF79173-FADC-43F4-9252-E1E3BC6D3B20}" destId="{B16CD26A-D747-4F19-BF51-99C678718522}" srcOrd="1" destOrd="0" presId="urn:microsoft.com/office/officeart/2008/layout/LinedList"/>
    <dgm:cxn modelId="{24A2AD47-92A8-49CC-9385-2346AA763EA3}" type="presParOf" srcId="{CBF79173-FADC-43F4-9252-E1E3BC6D3B20}" destId="{5EA2F242-3DB7-41E9-9293-1FDD1504DBC1}" srcOrd="2" destOrd="0" presId="urn:microsoft.com/office/officeart/2008/layout/LinedList"/>
    <dgm:cxn modelId="{4D817477-A088-4774-99E4-6658E70E2E22}" type="presParOf" srcId="{B3F03B23-4F0B-463B-80B4-68B3E413A807}" destId="{C033A98E-2734-4C1A-9C98-758A1B423C95}" srcOrd="2" destOrd="0" presId="urn:microsoft.com/office/officeart/2008/layout/LinedList"/>
    <dgm:cxn modelId="{C12CF64B-1B1D-457F-8472-20D3787791E9}" type="presParOf" srcId="{B3F03B23-4F0B-463B-80B4-68B3E413A807}" destId="{F85CF7D3-B764-4AAC-A701-B18945FDE02A}" srcOrd="3" destOrd="0" presId="urn:microsoft.com/office/officeart/2008/layout/LinedList"/>
    <dgm:cxn modelId="{5A1228E4-9B4A-49E3-A1E0-B2099F1B9F0A}" type="presParOf" srcId="{B3F03B23-4F0B-463B-80B4-68B3E413A807}" destId="{38A77B3B-7025-4601-A3E4-4092C2C5D4AC}" srcOrd="4" destOrd="0" presId="urn:microsoft.com/office/officeart/2008/layout/LinedList"/>
    <dgm:cxn modelId="{D61E9647-EF09-4D48-A39C-FB4BCD166F58}" type="presParOf" srcId="{38A77B3B-7025-4601-A3E4-4092C2C5D4AC}" destId="{DB6E0834-FF37-4418-B002-7EBBA531FDB8}" srcOrd="0" destOrd="0" presId="urn:microsoft.com/office/officeart/2008/layout/LinedList"/>
    <dgm:cxn modelId="{98E18583-F0D9-4569-9AD0-C8C10A08A477}" type="presParOf" srcId="{38A77B3B-7025-4601-A3E4-4092C2C5D4AC}" destId="{3154E3D2-C82B-4EBB-B21B-D2CAD792AB60}" srcOrd="1" destOrd="0" presId="urn:microsoft.com/office/officeart/2008/layout/LinedList"/>
    <dgm:cxn modelId="{B22809CF-7F79-45EC-9F41-AD42F85645FB}" type="presParOf" srcId="{38A77B3B-7025-4601-A3E4-4092C2C5D4AC}" destId="{6F97BB33-A566-4F73-8428-A034F9D7E53F}" srcOrd="2" destOrd="0" presId="urn:microsoft.com/office/officeart/2008/layout/LinedList"/>
    <dgm:cxn modelId="{2142EB2E-25EB-48A0-85E3-C92DAD3C49D0}" type="presParOf" srcId="{B3F03B23-4F0B-463B-80B4-68B3E413A807}" destId="{2F431A31-A473-4BDB-A6C8-26DFBD9F1A98}" srcOrd="5" destOrd="0" presId="urn:microsoft.com/office/officeart/2008/layout/LinedList"/>
    <dgm:cxn modelId="{F936C862-872C-4D13-946B-0318AEF1F759}" type="presParOf" srcId="{B3F03B23-4F0B-463B-80B4-68B3E413A807}" destId="{E0DFDB4D-955F-40A7-A71F-4201EE20CC8A}" srcOrd="6" destOrd="0" presId="urn:microsoft.com/office/officeart/2008/layout/LinedList"/>
    <dgm:cxn modelId="{7194D203-9E93-4719-8171-77B2314F5A22}" type="presParOf" srcId="{B3F03B23-4F0B-463B-80B4-68B3E413A807}" destId="{F63285F2-9427-41CD-B955-CA537003D4B0}" srcOrd="7" destOrd="0" presId="urn:microsoft.com/office/officeart/2008/layout/LinedList"/>
    <dgm:cxn modelId="{E9532397-05B8-440D-8C7E-28EC5DC86A85}" type="presParOf" srcId="{F63285F2-9427-41CD-B955-CA537003D4B0}" destId="{92EBE25B-15B1-4B83-B771-F33A0F4C495B}" srcOrd="0" destOrd="0" presId="urn:microsoft.com/office/officeart/2008/layout/LinedList"/>
    <dgm:cxn modelId="{41F99034-FA24-46DB-B5A9-BE958D6DBF4F}" type="presParOf" srcId="{F63285F2-9427-41CD-B955-CA537003D4B0}" destId="{EF3CCBE4-DE81-44C2-A00D-2EB389CE5B65}" srcOrd="1" destOrd="0" presId="urn:microsoft.com/office/officeart/2008/layout/LinedList"/>
    <dgm:cxn modelId="{41E84A8D-001B-42FB-AC68-F851E881C073}" type="presParOf" srcId="{F63285F2-9427-41CD-B955-CA537003D4B0}" destId="{14999E65-FDC4-4836-AB12-7D3CADDE5AA1}" srcOrd="2" destOrd="0" presId="urn:microsoft.com/office/officeart/2008/layout/LinedList"/>
    <dgm:cxn modelId="{78357807-E90A-4F6C-92D9-B1B2AF2A7268}" type="presParOf" srcId="{B3F03B23-4F0B-463B-80B4-68B3E413A807}" destId="{5BACCA6C-3861-469A-978D-C12A49172A11}" srcOrd="8" destOrd="0" presId="urn:microsoft.com/office/officeart/2008/layout/LinedList"/>
    <dgm:cxn modelId="{6879A46B-A758-488A-95C1-FAA1B797B7AC}" type="presParOf" srcId="{B3F03B23-4F0B-463B-80B4-68B3E413A807}" destId="{84EB68C5-BFAC-436C-A45F-454730D19FA9}" srcOrd="9" destOrd="0" presId="urn:microsoft.com/office/officeart/2008/layout/LinedList"/>
    <dgm:cxn modelId="{848E0889-85A9-46EA-926D-F3A81E66F537}" type="presParOf" srcId="{B3F03B23-4F0B-463B-80B4-68B3E413A807}" destId="{6BA09378-C745-4FBD-85AF-0BB6C396B8D1}" srcOrd="10" destOrd="0" presId="urn:microsoft.com/office/officeart/2008/layout/LinedList"/>
    <dgm:cxn modelId="{1CC24AC2-A1DD-481D-8961-4F8533F97D25}" type="presParOf" srcId="{6BA09378-C745-4FBD-85AF-0BB6C396B8D1}" destId="{8D5019CD-75E2-4647-BEE5-40412BE3B625}" srcOrd="0" destOrd="0" presId="urn:microsoft.com/office/officeart/2008/layout/LinedList"/>
    <dgm:cxn modelId="{BA0E9D13-EEE1-40A5-9C0A-AA8687CB3A14}" type="presParOf" srcId="{6BA09378-C745-4FBD-85AF-0BB6C396B8D1}" destId="{B0766494-1EC3-4080-933F-F0D3DADF96E5}" srcOrd="1" destOrd="0" presId="urn:microsoft.com/office/officeart/2008/layout/LinedList"/>
    <dgm:cxn modelId="{91DA84C8-1981-47E6-B184-190F8C03704B}" type="presParOf" srcId="{6BA09378-C745-4FBD-85AF-0BB6C396B8D1}" destId="{81BEF043-A04F-4E89-993F-FC77F0C4641E}" srcOrd="2" destOrd="0" presId="urn:microsoft.com/office/officeart/2008/layout/LinedList"/>
    <dgm:cxn modelId="{3987098E-63F1-4A49-BF5F-3368CF97EB98}" type="presParOf" srcId="{B3F03B23-4F0B-463B-80B4-68B3E413A807}" destId="{E911174D-B847-491C-A9EC-A941FAE01C1C}" srcOrd="11" destOrd="0" presId="urn:microsoft.com/office/officeart/2008/layout/LinedList"/>
    <dgm:cxn modelId="{745BC07D-8186-440D-9F7D-F314E955F829}" type="presParOf" srcId="{B3F03B23-4F0B-463B-80B4-68B3E413A807}" destId="{633B538E-2182-4E14-AA93-DEB5E5A7718F}" srcOrd="12" destOrd="0" presId="urn:microsoft.com/office/officeart/2008/layout/Lin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B6D2BA-A924-4382-96A8-862C691EA176}"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PE"/>
        </a:p>
      </dgm:t>
    </dgm:pt>
    <dgm:pt modelId="{9B608002-2F39-413B-8E1F-EF5AB3AB9991}">
      <dgm:prSet phldrT="[Texto]" custT="1"/>
      <dgm:spPr>
        <a:xfrm rot="16200000">
          <a:off x="-796049" y="1097505"/>
          <a:ext cx="2309779"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gm:spPr>
      <dgm:t>
        <a:bodyPr/>
        <a:lstStyle/>
        <a:p>
          <a:pPr algn="ctr"/>
          <a:r>
            <a:rPr lang="es-PE"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JURISPRUDENCIA   RELEVANTE </a:t>
          </a:r>
        </a:p>
      </dgm:t>
    </dgm:pt>
    <dgm:pt modelId="{7237DD27-14A3-4CF2-A60D-CD460F6800FE}" type="parTrans" cxnId="{257660EE-F379-4E19-93D2-AFF65FDD988B}">
      <dgm:prSet/>
      <dgm:spPr/>
      <dgm:t>
        <a:bodyPr/>
        <a:lstStyle/>
        <a:p>
          <a:pPr algn="ctr"/>
          <a:endParaRPr lang="es-PE" b="1"/>
        </a:p>
      </dgm:t>
    </dgm:pt>
    <dgm:pt modelId="{C06CF64A-D709-46D3-ABAE-493897BE174C}" type="sibTrans" cxnId="{257660EE-F379-4E19-93D2-AFF65FDD988B}">
      <dgm:prSet/>
      <dgm:spPr/>
      <dgm:t>
        <a:bodyPr/>
        <a:lstStyle/>
        <a:p>
          <a:pPr algn="ctr"/>
          <a:endParaRPr lang="es-PE" b="1"/>
        </a:p>
      </dgm:t>
    </dgm:pt>
    <dgm:pt modelId="{E797FFC1-C47C-4335-8284-E5A7C5BEC0DD}">
      <dgm:prSet phldrT="[Texto]" custT="1"/>
      <dgm:spPr>
        <a:xfrm>
          <a:off x="866160" y="548932"/>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gm:spPr>
      <dgm:t>
        <a:bodyPr/>
        <a:lstStyle/>
        <a:p>
          <a:pPr algn="ctr"/>
          <a:r>
            <a:rPr lang="es-PE"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EXP.N°00156-2012-PHC/TC</a:t>
          </a:r>
        </a:p>
      </dgm:t>
    </dgm:pt>
    <dgm:pt modelId="{22C9F548-7274-4772-89D5-4C923C25F6E3}" type="parTrans" cxnId="{6E2C916A-1A99-458E-9533-515464780894}">
      <dgm:prSet/>
      <dgm:spPr>
        <a:xfrm>
          <a:off x="578269" y="768361"/>
          <a:ext cx="287890" cy="548572"/>
        </a:xfrm>
        <a:custGeom>
          <a:avLst/>
          <a:gdLst/>
          <a:ahLst/>
          <a:cxnLst/>
          <a:rect l="0" t="0" r="0" b="0"/>
          <a:pathLst>
            <a:path>
              <a:moveTo>
                <a:pt x="0" y="548572"/>
              </a:moveTo>
              <a:lnTo>
                <a:pt x="143945" y="548572"/>
              </a:lnTo>
              <a:lnTo>
                <a:pt x="143945" y="0"/>
              </a:lnTo>
              <a:lnTo>
                <a:pt x="287890" y="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s-PE" b="1">
            <a:solidFill>
              <a:sysClr val="windowText" lastClr="000000">
                <a:hueOff val="0"/>
                <a:satOff val="0"/>
                <a:lumOff val="0"/>
                <a:alphaOff val="0"/>
              </a:sysClr>
            </a:solidFill>
            <a:latin typeface="Calibri" panose="020F0502020204030204"/>
            <a:ea typeface="+mn-ea"/>
            <a:cs typeface="+mn-cs"/>
          </a:endParaRPr>
        </a:p>
      </dgm:t>
    </dgm:pt>
    <dgm:pt modelId="{1759FE50-BBC0-4F8C-AB5B-FCD9C65D5F27}" type="sibTrans" cxnId="{6E2C916A-1A99-458E-9533-515464780894}">
      <dgm:prSet/>
      <dgm:spPr/>
      <dgm:t>
        <a:bodyPr/>
        <a:lstStyle/>
        <a:p>
          <a:pPr algn="ctr"/>
          <a:endParaRPr lang="es-PE" b="1"/>
        </a:p>
      </dgm:t>
    </dgm:pt>
    <dgm:pt modelId="{C476480B-20A7-4508-9190-3E71AB036BD5}">
      <dgm:prSet phldrT="[Texto]" custT="1"/>
      <dgm:spPr>
        <a:xfrm>
          <a:off x="866160" y="1097505"/>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gm:spPr>
      <dgm:t>
        <a:bodyPr/>
        <a:lstStyle/>
        <a:p>
          <a:pPr algn="ctr"/>
          <a:r>
            <a:rPr lang="es-PE"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EXP.N°0006-2003-AI/TC</a:t>
          </a:r>
        </a:p>
      </dgm:t>
    </dgm:pt>
    <dgm:pt modelId="{D068E637-83B6-4732-A8C9-5A1865EDCD3B}" type="parTrans" cxnId="{8D92093A-BB0C-4538-8ED3-0B3248FF753A}">
      <dgm:prSet/>
      <dgm:spPr>
        <a:xfrm>
          <a:off x="578269" y="1271214"/>
          <a:ext cx="287890" cy="91440"/>
        </a:xfrm>
        <a:custGeom>
          <a:avLst/>
          <a:gdLst/>
          <a:ahLst/>
          <a:cxnLst/>
          <a:rect l="0" t="0" r="0" b="0"/>
          <a:pathLst>
            <a:path>
              <a:moveTo>
                <a:pt x="0" y="45720"/>
              </a:moveTo>
              <a:lnTo>
                <a:pt x="287890" y="45720"/>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s-PE" b="1">
            <a:solidFill>
              <a:sysClr val="windowText" lastClr="000000">
                <a:hueOff val="0"/>
                <a:satOff val="0"/>
                <a:lumOff val="0"/>
                <a:alphaOff val="0"/>
              </a:sysClr>
            </a:solidFill>
            <a:latin typeface="Calibri" panose="020F0502020204030204"/>
            <a:ea typeface="+mn-ea"/>
            <a:cs typeface="+mn-cs"/>
          </a:endParaRPr>
        </a:p>
      </dgm:t>
    </dgm:pt>
    <dgm:pt modelId="{F338ADE7-F178-4D47-8B37-F4ADAB6B86A7}" type="sibTrans" cxnId="{8D92093A-BB0C-4538-8ED3-0B3248FF753A}">
      <dgm:prSet/>
      <dgm:spPr/>
      <dgm:t>
        <a:bodyPr/>
        <a:lstStyle/>
        <a:p>
          <a:pPr algn="ctr"/>
          <a:endParaRPr lang="es-PE" b="1"/>
        </a:p>
      </dgm:t>
    </dgm:pt>
    <dgm:pt modelId="{8B0850A2-3F6F-4960-B955-0AE9A7964FF1}">
      <dgm:prSet phldrT="[Texto]" custT="1"/>
      <dgm:spPr>
        <a:xfrm>
          <a:off x="866160" y="1646078"/>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gm:spPr>
      <dgm:t>
        <a:bodyPr/>
        <a:lstStyle/>
        <a:p>
          <a:pPr algn="ctr"/>
          <a:r>
            <a:rPr lang="es-PE"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 N°00030-2010-PHC/TC</a:t>
          </a:r>
        </a:p>
      </dgm:t>
    </dgm:pt>
    <dgm:pt modelId="{29653F04-3C87-4937-8241-2BAEC135E4D8}" type="parTrans" cxnId="{357713E3-92C5-48BD-AF29-51B5DC7A9C6B}">
      <dgm:prSet/>
      <dgm:spPr>
        <a:xfrm>
          <a:off x="578269" y="1316934"/>
          <a:ext cx="287890" cy="548572"/>
        </a:xfrm>
        <a:custGeom>
          <a:avLst/>
          <a:gdLst/>
          <a:ahLst/>
          <a:cxnLst/>
          <a:rect l="0" t="0" r="0" b="0"/>
          <a:pathLst>
            <a:path>
              <a:moveTo>
                <a:pt x="0" y="0"/>
              </a:moveTo>
              <a:lnTo>
                <a:pt x="143945" y="0"/>
              </a:lnTo>
              <a:lnTo>
                <a:pt x="143945" y="548572"/>
              </a:lnTo>
              <a:lnTo>
                <a:pt x="287890" y="548572"/>
              </a:lnTo>
            </a:path>
          </a:pathLst>
        </a:custGeom>
        <a:noFill/>
        <a:ln w="28575" cap="flat" cmpd="sng" algn="ctr">
          <a:solidFill>
            <a:srgbClr val="44546A">
              <a:lumMod val="75000"/>
            </a:srgbClr>
          </a:solidFill>
          <a:prstDash val="solid"/>
          <a:miter lim="800000"/>
        </a:ln>
        <a:effectLst/>
      </dgm:spPr>
      <dgm:t>
        <a:bodyPr/>
        <a:lstStyle/>
        <a:p>
          <a:pPr algn="ctr"/>
          <a:endParaRPr lang="es-PE" b="1">
            <a:solidFill>
              <a:sysClr val="windowText" lastClr="000000">
                <a:hueOff val="0"/>
                <a:satOff val="0"/>
                <a:lumOff val="0"/>
                <a:alphaOff val="0"/>
              </a:sysClr>
            </a:solidFill>
            <a:latin typeface="Calibri" panose="020F0502020204030204"/>
            <a:ea typeface="+mn-ea"/>
            <a:cs typeface="+mn-cs"/>
          </a:endParaRPr>
        </a:p>
      </dgm:t>
    </dgm:pt>
    <dgm:pt modelId="{7B20930B-4BE0-4B28-921E-864E3ED08228}" type="sibTrans" cxnId="{357713E3-92C5-48BD-AF29-51B5DC7A9C6B}">
      <dgm:prSet/>
      <dgm:spPr/>
      <dgm:t>
        <a:bodyPr/>
        <a:lstStyle/>
        <a:p>
          <a:pPr algn="ctr"/>
          <a:endParaRPr lang="es-PE" b="1"/>
        </a:p>
      </dgm:t>
    </dgm:pt>
    <dgm:pt modelId="{73D6A832-3821-4447-AB60-A71F9FFB93DC}">
      <dgm:prSet phldrT="[Texto]" custT="1"/>
      <dgm:spPr>
        <a:xfrm>
          <a:off x="866160" y="2194650"/>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gm:spPr>
      <dgm:t>
        <a:bodyPr/>
        <a:lstStyle/>
        <a:p>
          <a:pPr algn="ctr"/>
          <a:r>
            <a:rPr lang="es-PE"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 N°03760-2004-AA/TC</a:t>
          </a:r>
        </a:p>
      </dgm:t>
    </dgm:pt>
    <dgm:pt modelId="{F8D554E2-AF44-4404-B486-718F807CFAE2}" type="parTrans" cxnId="{6C31539A-E302-4936-84B7-0373EA47C05E}">
      <dgm:prSet/>
      <dgm:spPr>
        <a:xfrm>
          <a:off x="578269" y="1316934"/>
          <a:ext cx="287890" cy="1097145"/>
        </a:xfrm>
        <a:custGeom>
          <a:avLst/>
          <a:gdLst/>
          <a:ahLst/>
          <a:cxnLst/>
          <a:rect l="0" t="0" r="0" b="0"/>
          <a:pathLst>
            <a:path>
              <a:moveTo>
                <a:pt x="0" y="0"/>
              </a:moveTo>
              <a:lnTo>
                <a:pt x="143945" y="0"/>
              </a:lnTo>
              <a:lnTo>
                <a:pt x="143945" y="1097145"/>
              </a:lnTo>
              <a:lnTo>
                <a:pt x="287890" y="1097145"/>
              </a:lnTo>
            </a:path>
          </a:pathLst>
        </a:custGeom>
        <a:noFill/>
        <a:ln w="28575" cap="flat" cmpd="sng" algn="ctr">
          <a:solidFill>
            <a:srgbClr val="44546A">
              <a:lumMod val="75000"/>
            </a:srgbClr>
          </a:solidFill>
          <a:prstDash val="solid"/>
          <a:miter lim="800000"/>
        </a:ln>
        <a:effectLst/>
      </dgm:spPr>
      <dgm:t>
        <a:bodyPr/>
        <a:lstStyle/>
        <a:p>
          <a:pPr algn="ctr"/>
          <a:endParaRPr lang="es-PE" b="1">
            <a:solidFill>
              <a:sysClr val="windowText" lastClr="000000">
                <a:hueOff val="0"/>
                <a:satOff val="0"/>
                <a:lumOff val="0"/>
                <a:alphaOff val="0"/>
              </a:sysClr>
            </a:solidFill>
            <a:latin typeface="Calibri" panose="020F0502020204030204"/>
            <a:ea typeface="+mn-ea"/>
            <a:cs typeface="+mn-cs"/>
          </a:endParaRPr>
        </a:p>
      </dgm:t>
    </dgm:pt>
    <dgm:pt modelId="{CD0F022F-AC34-4CD2-8A56-8FC1BC7E2E4C}" type="sibTrans" cxnId="{6C31539A-E302-4936-84B7-0373EA47C05E}">
      <dgm:prSet/>
      <dgm:spPr/>
      <dgm:t>
        <a:bodyPr/>
        <a:lstStyle/>
        <a:p>
          <a:pPr algn="ctr"/>
          <a:endParaRPr lang="es-PE" b="1"/>
        </a:p>
      </dgm:t>
    </dgm:pt>
    <dgm:pt modelId="{FEE28273-D36F-41E7-AE3C-3FDA4B643486}">
      <dgm:prSet phldrT="[Texto]" custT="1"/>
      <dgm:spPr>
        <a:xfrm>
          <a:off x="866160" y="360"/>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gm:spPr>
      <dgm:t>
        <a:bodyPr/>
        <a:lstStyle/>
        <a:p>
          <a:pPr algn="ctr"/>
          <a:r>
            <a:rPr lang="es-PE"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 N°3593-2006-AA/TC</a:t>
          </a:r>
        </a:p>
      </dgm:t>
    </dgm:pt>
    <dgm:pt modelId="{99CA3FAF-EF79-4ACC-A241-D35B2307031E}" type="sibTrans" cxnId="{610EB4DF-921E-4002-A6FB-ED1578DA0946}">
      <dgm:prSet/>
      <dgm:spPr/>
      <dgm:t>
        <a:bodyPr/>
        <a:lstStyle/>
        <a:p>
          <a:pPr algn="ctr"/>
          <a:endParaRPr lang="es-PE" b="1"/>
        </a:p>
      </dgm:t>
    </dgm:pt>
    <dgm:pt modelId="{E53E00B9-C164-4F92-9A94-0DA58696C458}" type="parTrans" cxnId="{610EB4DF-921E-4002-A6FB-ED1578DA0946}">
      <dgm:prSet/>
      <dgm:spPr>
        <a:xfrm>
          <a:off x="578269" y="219789"/>
          <a:ext cx="287890" cy="1097145"/>
        </a:xfrm>
        <a:custGeom>
          <a:avLst/>
          <a:gdLst/>
          <a:ahLst/>
          <a:cxnLst/>
          <a:rect l="0" t="0" r="0" b="0"/>
          <a:pathLst>
            <a:path>
              <a:moveTo>
                <a:pt x="0" y="1097145"/>
              </a:moveTo>
              <a:lnTo>
                <a:pt x="143945" y="1097145"/>
              </a:lnTo>
              <a:lnTo>
                <a:pt x="143945" y="0"/>
              </a:lnTo>
              <a:lnTo>
                <a:pt x="287890" y="0"/>
              </a:lnTo>
            </a:path>
          </a:pathLst>
        </a:custGeom>
        <a:noFill/>
        <a:ln w="28575" cap="flat" cmpd="sng" algn="ctr">
          <a:solidFill>
            <a:srgbClr val="44546A">
              <a:lumMod val="75000"/>
            </a:srgbClr>
          </a:solidFill>
          <a:prstDash val="solid"/>
          <a:miter lim="800000"/>
        </a:ln>
        <a:effectLst/>
      </dgm:spPr>
      <dgm:t>
        <a:bodyPr/>
        <a:lstStyle/>
        <a:p>
          <a:pPr algn="ctr"/>
          <a:endParaRPr lang="es-PE" b="1">
            <a:solidFill>
              <a:sysClr val="windowText" lastClr="000000">
                <a:hueOff val="0"/>
                <a:satOff val="0"/>
                <a:lumOff val="0"/>
                <a:alphaOff val="0"/>
              </a:sysClr>
            </a:solidFill>
            <a:latin typeface="Calibri" panose="020F0502020204030204"/>
            <a:ea typeface="+mn-ea"/>
            <a:cs typeface="+mn-cs"/>
          </a:endParaRPr>
        </a:p>
      </dgm:t>
    </dgm:pt>
    <dgm:pt modelId="{E30AF943-9E3B-4FF6-9B9A-4BCDF1EECF4A}" type="pres">
      <dgm:prSet presAssocID="{0CB6D2BA-A924-4382-96A8-862C691EA176}" presName="Name0" presStyleCnt="0">
        <dgm:presLayoutVars>
          <dgm:chPref val="1"/>
          <dgm:dir/>
          <dgm:animOne val="branch"/>
          <dgm:animLvl val="lvl"/>
          <dgm:resizeHandles val="exact"/>
        </dgm:presLayoutVars>
      </dgm:prSet>
      <dgm:spPr/>
    </dgm:pt>
    <dgm:pt modelId="{CE5ABFC6-17E2-4E23-81ED-6603CD6E4107}" type="pres">
      <dgm:prSet presAssocID="{9B608002-2F39-413B-8E1F-EF5AB3AB9991}" presName="root1" presStyleCnt="0"/>
      <dgm:spPr/>
    </dgm:pt>
    <dgm:pt modelId="{8DE680A7-E6E8-443A-BC0E-9E7B35854A65}" type="pres">
      <dgm:prSet presAssocID="{9B608002-2F39-413B-8E1F-EF5AB3AB9991}" presName="LevelOneTextNode" presStyleLbl="node0" presStyleIdx="0" presStyleCnt="1">
        <dgm:presLayoutVars>
          <dgm:chPref val="3"/>
        </dgm:presLayoutVars>
      </dgm:prSet>
      <dgm:spPr/>
    </dgm:pt>
    <dgm:pt modelId="{E4EE732E-0FE2-4B41-A879-D637C2182167}" type="pres">
      <dgm:prSet presAssocID="{9B608002-2F39-413B-8E1F-EF5AB3AB9991}" presName="level2hierChild" presStyleCnt="0"/>
      <dgm:spPr/>
    </dgm:pt>
    <dgm:pt modelId="{BF9A899F-50D3-4A90-9019-73EDA3B12838}" type="pres">
      <dgm:prSet presAssocID="{E53E00B9-C164-4F92-9A94-0DA58696C458}" presName="conn2-1" presStyleLbl="parChTrans1D2" presStyleIdx="0" presStyleCnt="5"/>
      <dgm:spPr/>
    </dgm:pt>
    <dgm:pt modelId="{D29D7F91-2FD6-4074-971A-2535E35B4355}" type="pres">
      <dgm:prSet presAssocID="{E53E00B9-C164-4F92-9A94-0DA58696C458}" presName="connTx" presStyleLbl="parChTrans1D2" presStyleIdx="0" presStyleCnt="5"/>
      <dgm:spPr/>
    </dgm:pt>
    <dgm:pt modelId="{FEBBA973-4A72-403E-9488-C54D539E00AC}" type="pres">
      <dgm:prSet presAssocID="{FEE28273-D36F-41E7-AE3C-3FDA4B643486}" presName="root2" presStyleCnt="0"/>
      <dgm:spPr/>
    </dgm:pt>
    <dgm:pt modelId="{5FC2CAF6-8F3A-42A1-8BF7-E7674583CF6F}" type="pres">
      <dgm:prSet presAssocID="{FEE28273-D36F-41E7-AE3C-3FDA4B643486}" presName="LevelTwoTextNode" presStyleLbl="node2" presStyleIdx="0" presStyleCnt="5">
        <dgm:presLayoutVars>
          <dgm:chPref val="3"/>
        </dgm:presLayoutVars>
      </dgm:prSet>
      <dgm:spPr/>
    </dgm:pt>
    <dgm:pt modelId="{9A2AE111-F74F-40DE-86BC-3E4A840F5BDB}" type="pres">
      <dgm:prSet presAssocID="{FEE28273-D36F-41E7-AE3C-3FDA4B643486}" presName="level3hierChild" presStyleCnt="0"/>
      <dgm:spPr/>
    </dgm:pt>
    <dgm:pt modelId="{7C49CF4D-9BAF-40D9-96F1-6E204E109E32}" type="pres">
      <dgm:prSet presAssocID="{22C9F548-7274-4772-89D5-4C923C25F6E3}" presName="conn2-1" presStyleLbl="parChTrans1D2" presStyleIdx="1" presStyleCnt="5"/>
      <dgm:spPr/>
    </dgm:pt>
    <dgm:pt modelId="{75BD42F3-7B0D-4046-AB86-4152B42F4883}" type="pres">
      <dgm:prSet presAssocID="{22C9F548-7274-4772-89D5-4C923C25F6E3}" presName="connTx" presStyleLbl="parChTrans1D2" presStyleIdx="1" presStyleCnt="5"/>
      <dgm:spPr/>
    </dgm:pt>
    <dgm:pt modelId="{337C0FA1-F4AC-4105-81F8-A0F475BF07A7}" type="pres">
      <dgm:prSet presAssocID="{E797FFC1-C47C-4335-8284-E5A7C5BEC0DD}" presName="root2" presStyleCnt="0"/>
      <dgm:spPr/>
    </dgm:pt>
    <dgm:pt modelId="{0EA80C83-4D48-413C-B868-76A4E36F5434}" type="pres">
      <dgm:prSet presAssocID="{E797FFC1-C47C-4335-8284-E5A7C5BEC0DD}" presName="LevelTwoTextNode" presStyleLbl="node2" presStyleIdx="1" presStyleCnt="5">
        <dgm:presLayoutVars>
          <dgm:chPref val="3"/>
        </dgm:presLayoutVars>
      </dgm:prSet>
      <dgm:spPr/>
    </dgm:pt>
    <dgm:pt modelId="{22D03D76-FC35-4A71-ADD4-1C4DF82DEEC4}" type="pres">
      <dgm:prSet presAssocID="{E797FFC1-C47C-4335-8284-E5A7C5BEC0DD}" presName="level3hierChild" presStyleCnt="0"/>
      <dgm:spPr/>
    </dgm:pt>
    <dgm:pt modelId="{B2BE9FE7-B661-412D-BA49-8305BD72BC36}" type="pres">
      <dgm:prSet presAssocID="{D068E637-83B6-4732-A8C9-5A1865EDCD3B}" presName="conn2-1" presStyleLbl="parChTrans1D2" presStyleIdx="2" presStyleCnt="5"/>
      <dgm:spPr/>
    </dgm:pt>
    <dgm:pt modelId="{9063B5D4-4466-4118-AE4C-2181F24BC361}" type="pres">
      <dgm:prSet presAssocID="{D068E637-83B6-4732-A8C9-5A1865EDCD3B}" presName="connTx" presStyleLbl="parChTrans1D2" presStyleIdx="2" presStyleCnt="5"/>
      <dgm:spPr/>
    </dgm:pt>
    <dgm:pt modelId="{986F3D14-593E-4562-9D11-AE69B5299C60}" type="pres">
      <dgm:prSet presAssocID="{C476480B-20A7-4508-9190-3E71AB036BD5}" presName="root2" presStyleCnt="0"/>
      <dgm:spPr/>
    </dgm:pt>
    <dgm:pt modelId="{478F2532-53C5-4ACF-BCCC-50DD5ED2EE47}" type="pres">
      <dgm:prSet presAssocID="{C476480B-20A7-4508-9190-3E71AB036BD5}" presName="LevelTwoTextNode" presStyleLbl="node2" presStyleIdx="2" presStyleCnt="5">
        <dgm:presLayoutVars>
          <dgm:chPref val="3"/>
        </dgm:presLayoutVars>
      </dgm:prSet>
      <dgm:spPr/>
    </dgm:pt>
    <dgm:pt modelId="{A533E0EE-AAC0-4501-88BD-9531629917B2}" type="pres">
      <dgm:prSet presAssocID="{C476480B-20A7-4508-9190-3E71AB036BD5}" presName="level3hierChild" presStyleCnt="0"/>
      <dgm:spPr/>
    </dgm:pt>
    <dgm:pt modelId="{9FFCD8C4-D172-426E-895A-AFCA0003343E}" type="pres">
      <dgm:prSet presAssocID="{29653F04-3C87-4937-8241-2BAEC135E4D8}" presName="conn2-1" presStyleLbl="parChTrans1D2" presStyleIdx="3" presStyleCnt="5"/>
      <dgm:spPr/>
    </dgm:pt>
    <dgm:pt modelId="{80E3F35B-C7B7-442F-8EF1-FFEE96361575}" type="pres">
      <dgm:prSet presAssocID="{29653F04-3C87-4937-8241-2BAEC135E4D8}" presName="connTx" presStyleLbl="parChTrans1D2" presStyleIdx="3" presStyleCnt="5"/>
      <dgm:spPr/>
    </dgm:pt>
    <dgm:pt modelId="{3AF6454B-DAAE-47CC-A879-CF21FD86F7BA}" type="pres">
      <dgm:prSet presAssocID="{8B0850A2-3F6F-4960-B955-0AE9A7964FF1}" presName="root2" presStyleCnt="0"/>
      <dgm:spPr/>
    </dgm:pt>
    <dgm:pt modelId="{D218B816-23AA-4DC3-A6E5-4098F9B541E4}" type="pres">
      <dgm:prSet presAssocID="{8B0850A2-3F6F-4960-B955-0AE9A7964FF1}" presName="LevelTwoTextNode" presStyleLbl="node2" presStyleIdx="3" presStyleCnt="5">
        <dgm:presLayoutVars>
          <dgm:chPref val="3"/>
        </dgm:presLayoutVars>
      </dgm:prSet>
      <dgm:spPr/>
    </dgm:pt>
    <dgm:pt modelId="{5C475B9A-335F-4F44-963E-D9163D5D0639}" type="pres">
      <dgm:prSet presAssocID="{8B0850A2-3F6F-4960-B955-0AE9A7964FF1}" presName="level3hierChild" presStyleCnt="0"/>
      <dgm:spPr/>
    </dgm:pt>
    <dgm:pt modelId="{85B47EC7-C01C-42F1-B0B4-BC20CC2A7D37}" type="pres">
      <dgm:prSet presAssocID="{F8D554E2-AF44-4404-B486-718F807CFAE2}" presName="conn2-1" presStyleLbl="parChTrans1D2" presStyleIdx="4" presStyleCnt="5"/>
      <dgm:spPr/>
    </dgm:pt>
    <dgm:pt modelId="{714F9082-B47B-40E6-81C3-06012275AD2A}" type="pres">
      <dgm:prSet presAssocID="{F8D554E2-AF44-4404-B486-718F807CFAE2}" presName="connTx" presStyleLbl="parChTrans1D2" presStyleIdx="4" presStyleCnt="5"/>
      <dgm:spPr/>
    </dgm:pt>
    <dgm:pt modelId="{5DC05E14-A60A-4B9E-BB8C-992C19B8C1F5}" type="pres">
      <dgm:prSet presAssocID="{73D6A832-3821-4447-AB60-A71F9FFB93DC}" presName="root2" presStyleCnt="0"/>
      <dgm:spPr/>
    </dgm:pt>
    <dgm:pt modelId="{F49BF3BA-F7F1-4EC7-9381-23B5CA227868}" type="pres">
      <dgm:prSet presAssocID="{73D6A832-3821-4447-AB60-A71F9FFB93DC}" presName="LevelTwoTextNode" presStyleLbl="node2" presStyleIdx="4" presStyleCnt="5">
        <dgm:presLayoutVars>
          <dgm:chPref val="3"/>
        </dgm:presLayoutVars>
      </dgm:prSet>
      <dgm:spPr/>
    </dgm:pt>
    <dgm:pt modelId="{3F9C8079-A9CD-49B0-87C2-0D8550CD1B0F}" type="pres">
      <dgm:prSet presAssocID="{73D6A832-3821-4447-AB60-A71F9FFB93DC}" presName="level3hierChild" presStyleCnt="0"/>
      <dgm:spPr/>
    </dgm:pt>
  </dgm:ptLst>
  <dgm:cxnLst>
    <dgm:cxn modelId="{3B0F6401-8630-4DF2-A45E-9B5F1E0BCCCC}" type="presOf" srcId="{22C9F548-7274-4772-89D5-4C923C25F6E3}" destId="{7C49CF4D-9BAF-40D9-96F1-6E204E109E32}" srcOrd="0" destOrd="0" presId="urn:microsoft.com/office/officeart/2008/layout/HorizontalMultiLevelHierarchy"/>
    <dgm:cxn modelId="{A3794F0F-5621-4921-896D-6EE7E0B671C9}" type="presOf" srcId="{29653F04-3C87-4937-8241-2BAEC135E4D8}" destId="{9FFCD8C4-D172-426E-895A-AFCA0003343E}" srcOrd="0" destOrd="0" presId="urn:microsoft.com/office/officeart/2008/layout/HorizontalMultiLevelHierarchy"/>
    <dgm:cxn modelId="{1E210421-0DDB-4E20-9798-ACF106A83226}" type="presOf" srcId="{FEE28273-D36F-41E7-AE3C-3FDA4B643486}" destId="{5FC2CAF6-8F3A-42A1-8BF7-E7674583CF6F}" srcOrd="0" destOrd="0" presId="urn:microsoft.com/office/officeart/2008/layout/HorizontalMultiLevelHierarchy"/>
    <dgm:cxn modelId="{48C8BC2B-D761-483E-A05A-C77ABA028367}" type="presOf" srcId="{C476480B-20A7-4508-9190-3E71AB036BD5}" destId="{478F2532-53C5-4ACF-BCCC-50DD5ED2EE47}" srcOrd="0" destOrd="0" presId="urn:microsoft.com/office/officeart/2008/layout/HorizontalMultiLevelHierarchy"/>
    <dgm:cxn modelId="{8D92093A-BB0C-4538-8ED3-0B3248FF753A}" srcId="{9B608002-2F39-413B-8E1F-EF5AB3AB9991}" destId="{C476480B-20A7-4508-9190-3E71AB036BD5}" srcOrd="2" destOrd="0" parTransId="{D068E637-83B6-4732-A8C9-5A1865EDCD3B}" sibTransId="{F338ADE7-F178-4D47-8B37-F4ADAB6B86A7}"/>
    <dgm:cxn modelId="{79E04542-0215-4900-8BA5-47FF65752B46}" type="presOf" srcId="{29653F04-3C87-4937-8241-2BAEC135E4D8}" destId="{80E3F35B-C7B7-442F-8EF1-FFEE96361575}" srcOrd="1" destOrd="0" presId="urn:microsoft.com/office/officeart/2008/layout/HorizontalMultiLevelHierarchy"/>
    <dgm:cxn modelId="{C493C542-7062-48B9-994E-595C97AB22AA}" type="presOf" srcId="{73D6A832-3821-4447-AB60-A71F9FFB93DC}" destId="{F49BF3BA-F7F1-4EC7-9381-23B5CA227868}" srcOrd="0" destOrd="0" presId="urn:microsoft.com/office/officeart/2008/layout/HorizontalMultiLevelHierarchy"/>
    <dgm:cxn modelId="{1F071A46-B2E4-4D2F-8F6C-41D6E51CB2DE}" type="presOf" srcId="{D068E637-83B6-4732-A8C9-5A1865EDCD3B}" destId="{9063B5D4-4466-4118-AE4C-2181F24BC361}" srcOrd="1" destOrd="0" presId="urn:microsoft.com/office/officeart/2008/layout/HorizontalMultiLevelHierarchy"/>
    <dgm:cxn modelId="{660FC046-625E-4B58-923D-A8717E2BF7DE}" type="presOf" srcId="{9B608002-2F39-413B-8E1F-EF5AB3AB9991}" destId="{8DE680A7-E6E8-443A-BC0E-9E7B35854A65}" srcOrd="0" destOrd="0" presId="urn:microsoft.com/office/officeart/2008/layout/HorizontalMultiLevelHierarchy"/>
    <dgm:cxn modelId="{6E2C916A-1A99-458E-9533-515464780894}" srcId="{9B608002-2F39-413B-8E1F-EF5AB3AB9991}" destId="{E797FFC1-C47C-4335-8284-E5A7C5BEC0DD}" srcOrd="1" destOrd="0" parTransId="{22C9F548-7274-4772-89D5-4C923C25F6E3}" sibTransId="{1759FE50-BBC0-4F8C-AB5B-FCD9C65D5F27}"/>
    <dgm:cxn modelId="{4715024B-6E07-44C1-90A6-EE54987A8D4B}" type="presOf" srcId="{22C9F548-7274-4772-89D5-4C923C25F6E3}" destId="{75BD42F3-7B0D-4046-AB86-4152B42F4883}" srcOrd="1" destOrd="0" presId="urn:microsoft.com/office/officeart/2008/layout/HorizontalMultiLevelHierarchy"/>
    <dgm:cxn modelId="{F2FCC050-EB56-4B44-BF63-CEEDEA681489}" type="presOf" srcId="{8B0850A2-3F6F-4960-B955-0AE9A7964FF1}" destId="{D218B816-23AA-4DC3-A6E5-4098F9B541E4}" srcOrd="0" destOrd="0" presId="urn:microsoft.com/office/officeart/2008/layout/HorizontalMultiLevelHierarchy"/>
    <dgm:cxn modelId="{28B3F152-9B24-4F42-A0BA-3733DB36622E}" type="presOf" srcId="{E797FFC1-C47C-4335-8284-E5A7C5BEC0DD}" destId="{0EA80C83-4D48-413C-B868-76A4E36F5434}" srcOrd="0" destOrd="0" presId="urn:microsoft.com/office/officeart/2008/layout/HorizontalMultiLevelHierarchy"/>
    <dgm:cxn modelId="{B167A590-8006-4FAC-B951-B1E9B3A0120B}" type="presOf" srcId="{0CB6D2BA-A924-4382-96A8-862C691EA176}" destId="{E30AF943-9E3B-4FF6-9B9A-4BCDF1EECF4A}" srcOrd="0" destOrd="0" presId="urn:microsoft.com/office/officeart/2008/layout/HorizontalMultiLevelHierarchy"/>
    <dgm:cxn modelId="{6C31539A-E302-4936-84B7-0373EA47C05E}" srcId="{9B608002-2F39-413B-8E1F-EF5AB3AB9991}" destId="{73D6A832-3821-4447-AB60-A71F9FFB93DC}" srcOrd="4" destOrd="0" parTransId="{F8D554E2-AF44-4404-B486-718F807CFAE2}" sibTransId="{CD0F022F-AC34-4CD2-8A56-8FC1BC7E2E4C}"/>
    <dgm:cxn modelId="{90C4E6B4-C4F7-4F92-BB81-03D8A0E32A82}" type="presOf" srcId="{F8D554E2-AF44-4404-B486-718F807CFAE2}" destId="{85B47EC7-C01C-42F1-B0B4-BC20CC2A7D37}" srcOrd="0" destOrd="0" presId="urn:microsoft.com/office/officeart/2008/layout/HorizontalMultiLevelHierarchy"/>
    <dgm:cxn modelId="{D287EFB4-DD65-45F2-9581-DDEDD54288D1}" type="presOf" srcId="{E53E00B9-C164-4F92-9A94-0DA58696C458}" destId="{D29D7F91-2FD6-4074-971A-2535E35B4355}" srcOrd="1" destOrd="0" presId="urn:microsoft.com/office/officeart/2008/layout/HorizontalMultiLevelHierarchy"/>
    <dgm:cxn modelId="{43795DDB-6808-4194-B8A9-E5437DE4F06F}" type="presOf" srcId="{F8D554E2-AF44-4404-B486-718F807CFAE2}" destId="{714F9082-B47B-40E6-81C3-06012275AD2A}" srcOrd="1" destOrd="0" presId="urn:microsoft.com/office/officeart/2008/layout/HorizontalMultiLevelHierarchy"/>
    <dgm:cxn modelId="{0795F7DE-28C1-453A-A5E5-0233C36D92B8}" type="presOf" srcId="{E53E00B9-C164-4F92-9A94-0DA58696C458}" destId="{BF9A899F-50D3-4A90-9019-73EDA3B12838}" srcOrd="0" destOrd="0" presId="urn:microsoft.com/office/officeart/2008/layout/HorizontalMultiLevelHierarchy"/>
    <dgm:cxn modelId="{610EB4DF-921E-4002-A6FB-ED1578DA0946}" srcId="{9B608002-2F39-413B-8E1F-EF5AB3AB9991}" destId="{FEE28273-D36F-41E7-AE3C-3FDA4B643486}" srcOrd="0" destOrd="0" parTransId="{E53E00B9-C164-4F92-9A94-0DA58696C458}" sibTransId="{99CA3FAF-EF79-4ACC-A241-D35B2307031E}"/>
    <dgm:cxn modelId="{357713E3-92C5-48BD-AF29-51B5DC7A9C6B}" srcId="{9B608002-2F39-413B-8E1F-EF5AB3AB9991}" destId="{8B0850A2-3F6F-4960-B955-0AE9A7964FF1}" srcOrd="3" destOrd="0" parTransId="{29653F04-3C87-4937-8241-2BAEC135E4D8}" sibTransId="{7B20930B-4BE0-4B28-921E-864E3ED08228}"/>
    <dgm:cxn modelId="{EC2D09E5-C377-4C0E-A6E8-813019A6EECD}" type="presOf" srcId="{D068E637-83B6-4732-A8C9-5A1865EDCD3B}" destId="{B2BE9FE7-B661-412D-BA49-8305BD72BC36}" srcOrd="0" destOrd="0" presId="urn:microsoft.com/office/officeart/2008/layout/HorizontalMultiLevelHierarchy"/>
    <dgm:cxn modelId="{257660EE-F379-4E19-93D2-AFF65FDD988B}" srcId="{0CB6D2BA-A924-4382-96A8-862C691EA176}" destId="{9B608002-2F39-413B-8E1F-EF5AB3AB9991}" srcOrd="0" destOrd="0" parTransId="{7237DD27-14A3-4CF2-A60D-CD460F6800FE}" sibTransId="{C06CF64A-D709-46D3-ABAE-493897BE174C}"/>
    <dgm:cxn modelId="{E300DE28-7551-451B-AECC-F65A55CE9E61}" type="presParOf" srcId="{E30AF943-9E3B-4FF6-9B9A-4BCDF1EECF4A}" destId="{CE5ABFC6-17E2-4E23-81ED-6603CD6E4107}" srcOrd="0" destOrd="0" presId="urn:microsoft.com/office/officeart/2008/layout/HorizontalMultiLevelHierarchy"/>
    <dgm:cxn modelId="{C44D051A-68F6-4DFC-9B45-17B8C3D42ACB}" type="presParOf" srcId="{CE5ABFC6-17E2-4E23-81ED-6603CD6E4107}" destId="{8DE680A7-E6E8-443A-BC0E-9E7B35854A65}" srcOrd="0" destOrd="0" presId="urn:microsoft.com/office/officeart/2008/layout/HorizontalMultiLevelHierarchy"/>
    <dgm:cxn modelId="{5EE3BCFB-F89E-444E-A293-E1E698ABDB75}" type="presParOf" srcId="{CE5ABFC6-17E2-4E23-81ED-6603CD6E4107}" destId="{E4EE732E-0FE2-4B41-A879-D637C2182167}" srcOrd="1" destOrd="0" presId="urn:microsoft.com/office/officeart/2008/layout/HorizontalMultiLevelHierarchy"/>
    <dgm:cxn modelId="{4FE6D346-4F06-4199-9555-E6A668424391}" type="presParOf" srcId="{E4EE732E-0FE2-4B41-A879-D637C2182167}" destId="{BF9A899F-50D3-4A90-9019-73EDA3B12838}" srcOrd="0" destOrd="0" presId="urn:microsoft.com/office/officeart/2008/layout/HorizontalMultiLevelHierarchy"/>
    <dgm:cxn modelId="{7143F480-40B4-4760-8F82-617E3404223C}" type="presParOf" srcId="{BF9A899F-50D3-4A90-9019-73EDA3B12838}" destId="{D29D7F91-2FD6-4074-971A-2535E35B4355}" srcOrd="0" destOrd="0" presId="urn:microsoft.com/office/officeart/2008/layout/HorizontalMultiLevelHierarchy"/>
    <dgm:cxn modelId="{E9D148AE-2F52-4DC7-BBB9-5396D4B7791F}" type="presParOf" srcId="{E4EE732E-0FE2-4B41-A879-D637C2182167}" destId="{FEBBA973-4A72-403E-9488-C54D539E00AC}" srcOrd="1" destOrd="0" presId="urn:microsoft.com/office/officeart/2008/layout/HorizontalMultiLevelHierarchy"/>
    <dgm:cxn modelId="{963EE523-A8FF-4048-896D-D92650C7F29A}" type="presParOf" srcId="{FEBBA973-4A72-403E-9488-C54D539E00AC}" destId="{5FC2CAF6-8F3A-42A1-8BF7-E7674583CF6F}" srcOrd="0" destOrd="0" presId="urn:microsoft.com/office/officeart/2008/layout/HorizontalMultiLevelHierarchy"/>
    <dgm:cxn modelId="{FB29365A-7339-4CF6-9111-46E1ABE1F8D6}" type="presParOf" srcId="{FEBBA973-4A72-403E-9488-C54D539E00AC}" destId="{9A2AE111-F74F-40DE-86BC-3E4A840F5BDB}" srcOrd="1" destOrd="0" presId="urn:microsoft.com/office/officeart/2008/layout/HorizontalMultiLevelHierarchy"/>
    <dgm:cxn modelId="{D0EEC5C4-1E6A-40A1-B31D-8FFDA58E3AB1}" type="presParOf" srcId="{E4EE732E-0FE2-4B41-A879-D637C2182167}" destId="{7C49CF4D-9BAF-40D9-96F1-6E204E109E32}" srcOrd="2" destOrd="0" presId="urn:microsoft.com/office/officeart/2008/layout/HorizontalMultiLevelHierarchy"/>
    <dgm:cxn modelId="{4731E83E-D3CE-4D03-B699-59E96F3B0431}" type="presParOf" srcId="{7C49CF4D-9BAF-40D9-96F1-6E204E109E32}" destId="{75BD42F3-7B0D-4046-AB86-4152B42F4883}" srcOrd="0" destOrd="0" presId="urn:microsoft.com/office/officeart/2008/layout/HorizontalMultiLevelHierarchy"/>
    <dgm:cxn modelId="{371F7139-2FEB-4C76-977F-54F9B6AECC91}" type="presParOf" srcId="{E4EE732E-0FE2-4B41-A879-D637C2182167}" destId="{337C0FA1-F4AC-4105-81F8-A0F475BF07A7}" srcOrd="3" destOrd="0" presId="urn:microsoft.com/office/officeart/2008/layout/HorizontalMultiLevelHierarchy"/>
    <dgm:cxn modelId="{BB42A980-1C9D-4C3D-841B-4D22A61D49E4}" type="presParOf" srcId="{337C0FA1-F4AC-4105-81F8-A0F475BF07A7}" destId="{0EA80C83-4D48-413C-B868-76A4E36F5434}" srcOrd="0" destOrd="0" presId="urn:microsoft.com/office/officeart/2008/layout/HorizontalMultiLevelHierarchy"/>
    <dgm:cxn modelId="{12A42761-6520-424B-ABBF-B505F67A5C9E}" type="presParOf" srcId="{337C0FA1-F4AC-4105-81F8-A0F475BF07A7}" destId="{22D03D76-FC35-4A71-ADD4-1C4DF82DEEC4}" srcOrd="1" destOrd="0" presId="urn:microsoft.com/office/officeart/2008/layout/HorizontalMultiLevelHierarchy"/>
    <dgm:cxn modelId="{0E343EB6-88ED-465F-B8B0-148A621001DC}" type="presParOf" srcId="{E4EE732E-0FE2-4B41-A879-D637C2182167}" destId="{B2BE9FE7-B661-412D-BA49-8305BD72BC36}" srcOrd="4" destOrd="0" presId="urn:microsoft.com/office/officeart/2008/layout/HorizontalMultiLevelHierarchy"/>
    <dgm:cxn modelId="{B91311DC-26F8-4597-A3A5-3E4365B8F693}" type="presParOf" srcId="{B2BE9FE7-B661-412D-BA49-8305BD72BC36}" destId="{9063B5D4-4466-4118-AE4C-2181F24BC361}" srcOrd="0" destOrd="0" presId="urn:microsoft.com/office/officeart/2008/layout/HorizontalMultiLevelHierarchy"/>
    <dgm:cxn modelId="{0AED8F76-62C5-41D8-8743-E8B8F271811B}" type="presParOf" srcId="{E4EE732E-0FE2-4B41-A879-D637C2182167}" destId="{986F3D14-593E-4562-9D11-AE69B5299C60}" srcOrd="5" destOrd="0" presId="urn:microsoft.com/office/officeart/2008/layout/HorizontalMultiLevelHierarchy"/>
    <dgm:cxn modelId="{F1F69F9D-2264-434D-9677-2A1352AEAB21}" type="presParOf" srcId="{986F3D14-593E-4562-9D11-AE69B5299C60}" destId="{478F2532-53C5-4ACF-BCCC-50DD5ED2EE47}" srcOrd="0" destOrd="0" presId="urn:microsoft.com/office/officeart/2008/layout/HorizontalMultiLevelHierarchy"/>
    <dgm:cxn modelId="{57EB51CA-58FD-4920-A578-73EB617DFEE8}" type="presParOf" srcId="{986F3D14-593E-4562-9D11-AE69B5299C60}" destId="{A533E0EE-AAC0-4501-88BD-9531629917B2}" srcOrd="1" destOrd="0" presId="urn:microsoft.com/office/officeart/2008/layout/HorizontalMultiLevelHierarchy"/>
    <dgm:cxn modelId="{CB114DF9-FB33-473A-940E-509D9BF8FDA7}" type="presParOf" srcId="{E4EE732E-0FE2-4B41-A879-D637C2182167}" destId="{9FFCD8C4-D172-426E-895A-AFCA0003343E}" srcOrd="6" destOrd="0" presId="urn:microsoft.com/office/officeart/2008/layout/HorizontalMultiLevelHierarchy"/>
    <dgm:cxn modelId="{7AF6C244-5E65-4F48-9F02-3BB0D42BE569}" type="presParOf" srcId="{9FFCD8C4-D172-426E-895A-AFCA0003343E}" destId="{80E3F35B-C7B7-442F-8EF1-FFEE96361575}" srcOrd="0" destOrd="0" presId="urn:microsoft.com/office/officeart/2008/layout/HorizontalMultiLevelHierarchy"/>
    <dgm:cxn modelId="{CCAA7333-D68F-4066-AE84-F866C981971B}" type="presParOf" srcId="{E4EE732E-0FE2-4B41-A879-D637C2182167}" destId="{3AF6454B-DAAE-47CC-A879-CF21FD86F7BA}" srcOrd="7" destOrd="0" presId="urn:microsoft.com/office/officeart/2008/layout/HorizontalMultiLevelHierarchy"/>
    <dgm:cxn modelId="{0698912A-A842-4DAF-B192-378BB2754C61}" type="presParOf" srcId="{3AF6454B-DAAE-47CC-A879-CF21FD86F7BA}" destId="{D218B816-23AA-4DC3-A6E5-4098F9B541E4}" srcOrd="0" destOrd="0" presId="urn:microsoft.com/office/officeart/2008/layout/HorizontalMultiLevelHierarchy"/>
    <dgm:cxn modelId="{EF0AC47C-9495-49FC-AC6C-DCBBB867FC3B}" type="presParOf" srcId="{3AF6454B-DAAE-47CC-A879-CF21FD86F7BA}" destId="{5C475B9A-335F-4F44-963E-D9163D5D0639}" srcOrd="1" destOrd="0" presId="urn:microsoft.com/office/officeart/2008/layout/HorizontalMultiLevelHierarchy"/>
    <dgm:cxn modelId="{687BA7F0-949F-47D9-93D0-04FFFE134771}" type="presParOf" srcId="{E4EE732E-0FE2-4B41-A879-D637C2182167}" destId="{85B47EC7-C01C-42F1-B0B4-BC20CC2A7D37}" srcOrd="8" destOrd="0" presId="urn:microsoft.com/office/officeart/2008/layout/HorizontalMultiLevelHierarchy"/>
    <dgm:cxn modelId="{BF992EAF-0F94-483B-9903-2EE6CBEDE564}" type="presParOf" srcId="{85B47EC7-C01C-42F1-B0B4-BC20CC2A7D37}" destId="{714F9082-B47B-40E6-81C3-06012275AD2A}" srcOrd="0" destOrd="0" presId="urn:microsoft.com/office/officeart/2008/layout/HorizontalMultiLevelHierarchy"/>
    <dgm:cxn modelId="{0938EA13-A32D-4968-A343-7694DD6EB87B}" type="presParOf" srcId="{E4EE732E-0FE2-4B41-A879-D637C2182167}" destId="{5DC05E14-A60A-4B9E-BB8C-992C19B8C1F5}" srcOrd="9" destOrd="0" presId="urn:microsoft.com/office/officeart/2008/layout/HorizontalMultiLevelHierarchy"/>
    <dgm:cxn modelId="{852C9BA1-5473-4E84-A125-86738818B8B5}" type="presParOf" srcId="{5DC05E14-A60A-4B9E-BB8C-992C19B8C1F5}" destId="{F49BF3BA-F7F1-4EC7-9381-23B5CA227868}" srcOrd="0" destOrd="0" presId="urn:microsoft.com/office/officeart/2008/layout/HorizontalMultiLevelHierarchy"/>
    <dgm:cxn modelId="{6F035782-2D00-4FB5-BF0E-436E2412BE11}" type="presParOf" srcId="{5DC05E14-A60A-4B9E-BB8C-992C19B8C1F5}" destId="{3F9C8079-A9CD-49B0-87C2-0D8550CD1B0F}" srcOrd="1" destOrd="0" presId="urn:microsoft.com/office/officeart/2008/layout/HorizontalMultiLevelHierarchy"/>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01178B6-3EF7-464D-A89F-5DD21E19FF51}" type="doc">
      <dgm:prSet loTypeId="urn:microsoft.com/office/officeart/2005/8/layout/hierarchy3" loCatId="hierarchy" qsTypeId="urn:microsoft.com/office/officeart/2005/8/quickstyle/simple1" qsCatId="simple" csTypeId="urn:microsoft.com/office/officeart/2005/8/colors/accent0_3" csCatId="mainScheme" phldr="1"/>
      <dgm:spPr/>
      <dgm:t>
        <a:bodyPr/>
        <a:lstStyle/>
        <a:p>
          <a:endParaRPr lang="es-PE"/>
        </a:p>
      </dgm:t>
    </dgm:pt>
    <dgm:pt modelId="{DE6E49F6-E059-42A9-97D9-14271726E517}">
      <dgm:prSet phldrT="[Texto]" custT="1"/>
      <dgm:spPr>
        <a:xfrm>
          <a:off x="707708" y="36"/>
          <a:ext cx="1296251" cy="648125"/>
        </a:xfrm>
        <a:prstGeom prst="roundRect">
          <a:avLst>
            <a:gd name="adj" fmla="val 10000"/>
          </a:avLst>
        </a:prstGeom>
        <a:solidFill>
          <a:srgbClr val="44546A">
            <a:lumMod val="60000"/>
            <a:lumOff val="40000"/>
          </a:srgbClr>
        </a:solidFill>
        <a:ln w="12700" cap="flat" cmpd="sng" algn="ctr">
          <a:solidFill>
            <a:srgbClr val="E7E6E6">
              <a:hueOff val="0"/>
              <a:satOff val="0"/>
              <a:lumOff val="0"/>
              <a:alphaOff val="0"/>
            </a:srgbClr>
          </a:solidFill>
          <a:prstDash val="solid"/>
          <a:miter lim="800000"/>
        </a:ln>
        <a:effectLst/>
      </dgm:spPr>
      <dgm:t>
        <a:bodyPr/>
        <a:lstStyle/>
        <a:p>
          <a:r>
            <a:rPr lang="es-PE" sz="1000" b="1"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CASOS </a:t>
          </a:r>
        </a:p>
        <a:p>
          <a:r>
            <a:rPr lang="es-PE" sz="1000" b="1"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RELEVANTES</a:t>
          </a:r>
          <a:r>
            <a:rPr lang="es-PE" sz="900" b="1"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 </a:t>
          </a:r>
        </a:p>
      </dgm:t>
    </dgm:pt>
    <dgm:pt modelId="{532B55F1-299F-4540-A81C-0DA7DE43E9E6}" type="parTrans" cxnId="{6DC9802B-6FB1-4D2E-BEF1-4F7AAA1A7C0E}">
      <dgm:prSet/>
      <dgm:spPr/>
      <dgm:t>
        <a:bodyPr/>
        <a:lstStyle/>
        <a:p>
          <a:endParaRPr lang="es-PE"/>
        </a:p>
      </dgm:t>
    </dgm:pt>
    <dgm:pt modelId="{FFD169E9-AB2C-4232-9004-8413CCA9AC30}" type="sibTrans" cxnId="{6DC9802B-6FB1-4D2E-BEF1-4F7AAA1A7C0E}">
      <dgm:prSet/>
      <dgm:spPr/>
      <dgm:t>
        <a:bodyPr/>
        <a:lstStyle/>
        <a:p>
          <a:endParaRPr lang="es-PE"/>
        </a:p>
      </dgm:t>
    </dgm:pt>
    <dgm:pt modelId="{E209C0C2-2A2E-4971-9B45-9DE7AAD03B99}">
      <dgm:prSet phldrT="[Texto]"/>
      <dgm:spPr>
        <a:xfrm>
          <a:off x="966958" y="810193"/>
          <a:ext cx="1037001" cy="648125"/>
        </a:xfrm>
        <a:prstGeom prst="roundRect">
          <a:avLst>
            <a:gd name="adj" fmla="val 10000"/>
          </a:avLst>
        </a:prstGeom>
        <a:solidFill>
          <a:srgbClr val="E7E6E6">
            <a:alpha val="90000"/>
            <a:hueOff val="0"/>
            <a:satOff val="0"/>
            <a:lumOff val="0"/>
            <a:alphaOff val="0"/>
          </a:srgbClr>
        </a:solidFill>
        <a:ln w="12700" cap="flat" cmpd="sng" algn="ctr">
          <a:solidFill>
            <a:srgbClr val="44546A">
              <a:hueOff val="0"/>
              <a:satOff val="0"/>
              <a:lumOff val="0"/>
              <a:alphaOff val="0"/>
            </a:srgbClr>
          </a:solidFill>
          <a:prstDash val="solid"/>
          <a:miter lim="800000"/>
        </a:ln>
        <a:effectLst/>
      </dgm:spPr>
      <dgm:t>
        <a:bodyPr/>
        <a:lstStyle/>
        <a:p>
          <a:r>
            <a:rPr lang="es-PE"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Denuncia Constitucional en contra del expresidente Ollanta Humala Tasso</a:t>
          </a:r>
          <a:endParaRPr lang="es-P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E9EF729-2AB9-49A6-ADEC-0F94F6FEC056}" type="parTrans" cxnId="{A2809CE3-CA54-45CF-A962-94CF265943EC}">
      <dgm:prSet/>
      <dgm:spPr>
        <a:xfrm>
          <a:off x="837333" y="648162"/>
          <a:ext cx="129625" cy="486094"/>
        </a:xfrm>
        <a:custGeom>
          <a:avLst/>
          <a:gdLst/>
          <a:ahLst/>
          <a:cxnLst/>
          <a:rect l="0" t="0" r="0" b="0"/>
          <a:pathLst>
            <a:path>
              <a:moveTo>
                <a:pt x="0" y="0"/>
              </a:moveTo>
              <a:lnTo>
                <a:pt x="0" y="486094"/>
              </a:lnTo>
              <a:lnTo>
                <a:pt x="129625" y="486094"/>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es-PE"/>
        </a:p>
      </dgm:t>
    </dgm:pt>
    <dgm:pt modelId="{A8E66B45-4592-4D45-890E-1C7F58067514}" type="sibTrans" cxnId="{A2809CE3-CA54-45CF-A962-94CF265943EC}">
      <dgm:prSet/>
      <dgm:spPr/>
      <dgm:t>
        <a:bodyPr/>
        <a:lstStyle/>
        <a:p>
          <a:endParaRPr lang="es-PE"/>
        </a:p>
      </dgm:t>
    </dgm:pt>
    <dgm:pt modelId="{95B1B15F-F334-4915-84D9-4C8A38177670}">
      <dgm:prSet phldrT="[Texto]"/>
      <dgm:spPr>
        <a:xfrm>
          <a:off x="966958" y="1620351"/>
          <a:ext cx="1037001" cy="648125"/>
        </a:xfrm>
        <a:prstGeom prst="roundRect">
          <a:avLst>
            <a:gd name="adj" fmla="val 10000"/>
          </a:avLst>
        </a:prstGeom>
        <a:solidFill>
          <a:srgbClr val="E7E6E6">
            <a:alpha val="90000"/>
            <a:hueOff val="0"/>
            <a:satOff val="0"/>
            <a:lumOff val="0"/>
            <a:alphaOff val="0"/>
          </a:srgbClr>
        </a:solidFill>
        <a:ln w="12700" cap="flat" cmpd="sng" algn="ctr">
          <a:solidFill>
            <a:srgbClr val="44546A">
              <a:hueOff val="0"/>
              <a:satOff val="0"/>
              <a:lumOff val="0"/>
              <a:alphaOff val="0"/>
            </a:srgbClr>
          </a:solidFill>
          <a:prstDash val="solid"/>
          <a:miter lim="800000"/>
        </a:ln>
        <a:effectLst/>
      </dgm:spPr>
      <dgm:t>
        <a:bodyPr/>
        <a:lstStyle/>
        <a:p>
          <a:r>
            <a:rPr lang="es-PE"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Denuncia Constitucional en contra del expresidente Alberto Fujimori Fujimori</a:t>
          </a:r>
          <a:endParaRPr lang="es-P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BA0C38C-9E2A-4C4B-A8D7-E21B3C7262CD}" type="parTrans" cxnId="{183A3FE2-82A6-4966-84B9-B5EF0F88788F}">
      <dgm:prSet/>
      <dgm:spPr>
        <a:xfrm>
          <a:off x="837333" y="648162"/>
          <a:ext cx="129625" cy="1296251"/>
        </a:xfrm>
        <a:custGeom>
          <a:avLst/>
          <a:gdLst/>
          <a:ahLst/>
          <a:cxnLst/>
          <a:rect l="0" t="0" r="0" b="0"/>
          <a:pathLst>
            <a:path>
              <a:moveTo>
                <a:pt x="0" y="0"/>
              </a:moveTo>
              <a:lnTo>
                <a:pt x="0" y="1296251"/>
              </a:lnTo>
              <a:lnTo>
                <a:pt x="129625" y="1296251"/>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es-PE"/>
        </a:p>
      </dgm:t>
    </dgm:pt>
    <dgm:pt modelId="{330AD25D-B26A-4F1C-BED4-B89F477F3647}" type="sibTrans" cxnId="{183A3FE2-82A6-4966-84B9-B5EF0F88788F}">
      <dgm:prSet/>
      <dgm:spPr/>
      <dgm:t>
        <a:bodyPr/>
        <a:lstStyle/>
        <a:p>
          <a:endParaRPr lang="es-PE"/>
        </a:p>
      </dgm:t>
    </dgm:pt>
    <dgm:pt modelId="{B0EEA843-A975-4CB0-A844-554A81D980E1}">
      <dgm:prSet phldrT="[Texto]"/>
      <dgm:spPr>
        <a:xfrm>
          <a:off x="966958" y="2430508"/>
          <a:ext cx="1037001" cy="648125"/>
        </a:xfrm>
        <a:prstGeom prst="roundRect">
          <a:avLst>
            <a:gd name="adj" fmla="val 10000"/>
          </a:avLst>
        </a:prstGeom>
        <a:solidFill>
          <a:srgbClr val="E7E6E6">
            <a:alpha val="90000"/>
            <a:hueOff val="0"/>
            <a:satOff val="0"/>
            <a:lumOff val="0"/>
            <a:alphaOff val="0"/>
          </a:srgbClr>
        </a:solidFill>
        <a:ln w="12700" cap="flat" cmpd="sng" algn="ctr">
          <a:solidFill>
            <a:srgbClr val="44546A">
              <a:hueOff val="0"/>
              <a:satOff val="0"/>
              <a:lumOff val="0"/>
              <a:alphaOff val="0"/>
            </a:srgbClr>
          </a:solidFill>
          <a:prstDash val="solid"/>
          <a:miter lim="800000"/>
        </a:ln>
        <a:effectLst/>
      </dgm:spPr>
      <dgm:t>
        <a:bodyPr/>
        <a:lstStyle/>
        <a:p>
          <a:r>
            <a:rPr lang="es-PE"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Denuncia Constitucional contra exjuez Supremo Cesar Hinostroza y ex consejeros del CNM</a:t>
          </a:r>
          <a:endParaRPr lang="es-P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64CD162-E805-4F5B-91E2-CFFB494C3751}" type="parTrans" cxnId="{B99DBA6E-1CA9-4D63-A0B7-5FA5850C0F99}">
      <dgm:prSet/>
      <dgm:spPr>
        <a:xfrm>
          <a:off x="837333" y="648162"/>
          <a:ext cx="129625" cy="2106409"/>
        </a:xfrm>
        <a:custGeom>
          <a:avLst/>
          <a:gdLst/>
          <a:ahLst/>
          <a:cxnLst/>
          <a:rect l="0" t="0" r="0" b="0"/>
          <a:pathLst>
            <a:path>
              <a:moveTo>
                <a:pt x="0" y="0"/>
              </a:moveTo>
              <a:lnTo>
                <a:pt x="0" y="2106409"/>
              </a:lnTo>
              <a:lnTo>
                <a:pt x="129625" y="2106409"/>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es-PE"/>
        </a:p>
      </dgm:t>
    </dgm:pt>
    <dgm:pt modelId="{EB0C4BE4-5638-40BE-A9A2-7E8FAB52052C}" type="sibTrans" cxnId="{B99DBA6E-1CA9-4D63-A0B7-5FA5850C0F99}">
      <dgm:prSet/>
      <dgm:spPr/>
      <dgm:t>
        <a:bodyPr/>
        <a:lstStyle/>
        <a:p>
          <a:endParaRPr lang="es-PE"/>
        </a:p>
      </dgm:t>
    </dgm:pt>
    <dgm:pt modelId="{409E1437-AFFE-4A91-BEF0-37FD21446D9A}">
      <dgm:prSet phldrT="[Texto]"/>
      <dgm:spPr>
        <a:xfrm>
          <a:off x="966958" y="3240665"/>
          <a:ext cx="1037001" cy="648125"/>
        </a:xfrm>
        <a:prstGeom prst="roundRect">
          <a:avLst>
            <a:gd name="adj" fmla="val 10000"/>
          </a:avLst>
        </a:prstGeom>
        <a:solidFill>
          <a:srgbClr val="E7E6E6">
            <a:alpha val="90000"/>
            <a:hueOff val="0"/>
            <a:satOff val="0"/>
            <a:lumOff val="0"/>
            <a:alphaOff val="0"/>
          </a:srgbClr>
        </a:solidFill>
        <a:ln w="12700" cap="flat" cmpd="sng" algn="ctr">
          <a:solidFill>
            <a:srgbClr val="44546A">
              <a:hueOff val="0"/>
              <a:satOff val="0"/>
              <a:lumOff val="0"/>
              <a:alphaOff val="0"/>
            </a:srgbClr>
          </a:solidFill>
          <a:prstDash val="solid"/>
          <a:miter lim="800000"/>
        </a:ln>
        <a:effectLst/>
      </dgm:spPr>
      <dgm:t>
        <a:bodyPr/>
        <a:lstStyle/>
        <a:p>
          <a:r>
            <a:rPr lang="es-PE"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Denuncia Constitucional Contra Kenji Fujimori y otros.</a:t>
          </a:r>
          <a:endParaRPr lang="es-PE">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A4D4DA02-FB92-4DB9-BA0D-CB94761E7E15}" type="parTrans" cxnId="{880AA870-BFB7-47ED-A6DE-8DC653F2A67C}">
      <dgm:prSet/>
      <dgm:spPr>
        <a:xfrm>
          <a:off x="837333" y="648162"/>
          <a:ext cx="129625" cy="2916566"/>
        </a:xfrm>
        <a:custGeom>
          <a:avLst/>
          <a:gdLst/>
          <a:ahLst/>
          <a:cxnLst/>
          <a:rect l="0" t="0" r="0" b="0"/>
          <a:pathLst>
            <a:path>
              <a:moveTo>
                <a:pt x="0" y="0"/>
              </a:moveTo>
              <a:lnTo>
                <a:pt x="0" y="2916566"/>
              </a:lnTo>
              <a:lnTo>
                <a:pt x="129625" y="2916566"/>
              </a:lnTo>
            </a:path>
          </a:pathLst>
        </a:custGeom>
        <a:noFill/>
        <a:ln w="12700" cap="flat" cmpd="sng" algn="ctr">
          <a:solidFill>
            <a:srgbClr val="44546A">
              <a:shade val="60000"/>
              <a:hueOff val="0"/>
              <a:satOff val="0"/>
              <a:lumOff val="0"/>
              <a:alphaOff val="0"/>
            </a:srgbClr>
          </a:solidFill>
          <a:prstDash val="solid"/>
          <a:miter lim="800000"/>
        </a:ln>
        <a:effectLst/>
      </dgm:spPr>
      <dgm:t>
        <a:bodyPr/>
        <a:lstStyle/>
        <a:p>
          <a:endParaRPr lang="es-PE"/>
        </a:p>
      </dgm:t>
    </dgm:pt>
    <dgm:pt modelId="{90F1F5A2-939A-4A6C-BA1E-88B5E849C2B5}" type="sibTrans" cxnId="{880AA870-BFB7-47ED-A6DE-8DC653F2A67C}">
      <dgm:prSet/>
      <dgm:spPr/>
      <dgm:t>
        <a:bodyPr/>
        <a:lstStyle/>
        <a:p>
          <a:endParaRPr lang="es-PE"/>
        </a:p>
      </dgm:t>
    </dgm:pt>
    <dgm:pt modelId="{A36343B6-B0EE-4C79-9F10-66D8BB7E81D7}" type="pres">
      <dgm:prSet presAssocID="{801178B6-3EF7-464D-A89F-5DD21E19FF51}" presName="diagram" presStyleCnt="0">
        <dgm:presLayoutVars>
          <dgm:chPref val="1"/>
          <dgm:dir/>
          <dgm:animOne val="branch"/>
          <dgm:animLvl val="lvl"/>
          <dgm:resizeHandles/>
        </dgm:presLayoutVars>
      </dgm:prSet>
      <dgm:spPr/>
    </dgm:pt>
    <dgm:pt modelId="{41A36AC9-C516-41A1-9C25-69BC27210E90}" type="pres">
      <dgm:prSet presAssocID="{DE6E49F6-E059-42A9-97D9-14271726E517}" presName="root" presStyleCnt="0"/>
      <dgm:spPr/>
    </dgm:pt>
    <dgm:pt modelId="{56BA7FB3-7886-4616-AC6C-892163FDA4FC}" type="pres">
      <dgm:prSet presAssocID="{DE6E49F6-E059-42A9-97D9-14271726E517}" presName="rootComposite" presStyleCnt="0"/>
      <dgm:spPr/>
    </dgm:pt>
    <dgm:pt modelId="{4CE43C56-7B1E-4664-BCBC-8532E99139B9}" type="pres">
      <dgm:prSet presAssocID="{DE6E49F6-E059-42A9-97D9-14271726E517}" presName="rootText" presStyleLbl="node1" presStyleIdx="0" presStyleCnt="1"/>
      <dgm:spPr/>
    </dgm:pt>
    <dgm:pt modelId="{6AA1ECC9-9C8F-4B57-96D0-03A56CFBDB6B}" type="pres">
      <dgm:prSet presAssocID="{DE6E49F6-E059-42A9-97D9-14271726E517}" presName="rootConnector" presStyleLbl="node1" presStyleIdx="0" presStyleCnt="1"/>
      <dgm:spPr/>
    </dgm:pt>
    <dgm:pt modelId="{C370BBC1-10B9-41FE-B1B9-17DD51963E05}" type="pres">
      <dgm:prSet presAssocID="{DE6E49F6-E059-42A9-97D9-14271726E517}" presName="childShape" presStyleCnt="0"/>
      <dgm:spPr/>
    </dgm:pt>
    <dgm:pt modelId="{C5A17BAA-4863-4ABC-8AEC-0CF9FA05F55B}" type="pres">
      <dgm:prSet presAssocID="{6E9EF729-2AB9-49A6-ADEC-0F94F6FEC056}" presName="Name13" presStyleLbl="parChTrans1D2" presStyleIdx="0" presStyleCnt="4"/>
      <dgm:spPr/>
    </dgm:pt>
    <dgm:pt modelId="{8BAEACB1-DDF9-4739-B563-0A76A9D77E8C}" type="pres">
      <dgm:prSet presAssocID="{E209C0C2-2A2E-4971-9B45-9DE7AAD03B99}" presName="childText" presStyleLbl="bgAcc1" presStyleIdx="0" presStyleCnt="4">
        <dgm:presLayoutVars>
          <dgm:bulletEnabled val="1"/>
        </dgm:presLayoutVars>
      </dgm:prSet>
      <dgm:spPr/>
    </dgm:pt>
    <dgm:pt modelId="{34C162C6-EDE4-4B78-9EFA-FB011D1478DF}" type="pres">
      <dgm:prSet presAssocID="{FBA0C38C-9E2A-4C4B-A8D7-E21B3C7262CD}" presName="Name13" presStyleLbl="parChTrans1D2" presStyleIdx="1" presStyleCnt="4"/>
      <dgm:spPr/>
    </dgm:pt>
    <dgm:pt modelId="{3F6B9AD7-1482-4B0C-B305-3FA100629A44}" type="pres">
      <dgm:prSet presAssocID="{95B1B15F-F334-4915-84D9-4C8A38177670}" presName="childText" presStyleLbl="bgAcc1" presStyleIdx="1" presStyleCnt="4">
        <dgm:presLayoutVars>
          <dgm:bulletEnabled val="1"/>
        </dgm:presLayoutVars>
      </dgm:prSet>
      <dgm:spPr/>
    </dgm:pt>
    <dgm:pt modelId="{72BA6403-4AFA-4F91-A268-432EE7638609}" type="pres">
      <dgm:prSet presAssocID="{F64CD162-E805-4F5B-91E2-CFFB494C3751}" presName="Name13" presStyleLbl="parChTrans1D2" presStyleIdx="2" presStyleCnt="4"/>
      <dgm:spPr/>
    </dgm:pt>
    <dgm:pt modelId="{1419536B-59E4-479E-9BCD-C7105344757A}" type="pres">
      <dgm:prSet presAssocID="{B0EEA843-A975-4CB0-A844-554A81D980E1}" presName="childText" presStyleLbl="bgAcc1" presStyleIdx="2" presStyleCnt="4">
        <dgm:presLayoutVars>
          <dgm:bulletEnabled val="1"/>
        </dgm:presLayoutVars>
      </dgm:prSet>
      <dgm:spPr/>
    </dgm:pt>
    <dgm:pt modelId="{A07F43BB-3C2A-40DB-B055-B74EEA68C6BF}" type="pres">
      <dgm:prSet presAssocID="{A4D4DA02-FB92-4DB9-BA0D-CB94761E7E15}" presName="Name13" presStyleLbl="parChTrans1D2" presStyleIdx="3" presStyleCnt="4"/>
      <dgm:spPr/>
    </dgm:pt>
    <dgm:pt modelId="{70D48EF1-ABEB-4A22-9F6E-017C02318E10}" type="pres">
      <dgm:prSet presAssocID="{409E1437-AFFE-4A91-BEF0-37FD21446D9A}" presName="childText" presStyleLbl="bgAcc1" presStyleIdx="3" presStyleCnt="4">
        <dgm:presLayoutVars>
          <dgm:bulletEnabled val="1"/>
        </dgm:presLayoutVars>
      </dgm:prSet>
      <dgm:spPr/>
    </dgm:pt>
  </dgm:ptLst>
  <dgm:cxnLst>
    <dgm:cxn modelId="{57AFE721-D538-4CD8-826F-1FFA2C0045A4}" type="presOf" srcId="{E209C0C2-2A2E-4971-9B45-9DE7AAD03B99}" destId="{8BAEACB1-DDF9-4739-B563-0A76A9D77E8C}" srcOrd="0" destOrd="0" presId="urn:microsoft.com/office/officeart/2005/8/layout/hierarchy3"/>
    <dgm:cxn modelId="{C047A427-8BAA-430B-82C9-F919F77493E7}" type="presOf" srcId="{409E1437-AFFE-4A91-BEF0-37FD21446D9A}" destId="{70D48EF1-ABEB-4A22-9F6E-017C02318E10}" srcOrd="0" destOrd="0" presId="urn:microsoft.com/office/officeart/2005/8/layout/hierarchy3"/>
    <dgm:cxn modelId="{6DC9802B-6FB1-4D2E-BEF1-4F7AAA1A7C0E}" srcId="{801178B6-3EF7-464D-A89F-5DD21E19FF51}" destId="{DE6E49F6-E059-42A9-97D9-14271726E517}" srcOrd="0" destOrd="0" parTransId="{532B55F1-299F-4540-A81C-0DA7DE43E9E6}" sibTransId="{FFD169E9-AB2C-4232-9004-8413CCA9AC30}"/>
    <dgm:cxn modelId="{EBB57B2D-4158-4B29-9086-0E3C30C63795}" type="presOf" srcId="{FBA0C38C-9E2A-4C4B-A8D7-E21B3C7262CD}" destId="{34C162C6-EDE4-4B78-9EFA-FB011D1478DF}" srcOrd="0" destOrd="0" presId="urn:microsoft.com/office/officeart/2005/8/layout/hierarchy3"/>
    <dgm:cxn modelId="{C3081E3D-8175-471C-B85A-8D7650AF4970}" type="presOf" srcId="{B0EEA843-A975-4CB0-A844-554A81D980E1}" destId="{1419536B-59E4-479E-9BCD-C7105344757A}" srcOrd="0" destOrd="0" presId="urn:microsoft.com/office/officeart/2005/8/layout/hierarchy3"/>
    <dgm:cxn modelId="{7900CE41-B61F-42A0-A2F6-43195139CF57}" type="presOf" srcId="{A4D4DA02-FB92-4DB9-BA0D-CB94761E7E15}" destId="{A07F43BB-3C2A-40DB-B055-B74EEA68C6BF}" srcOrd="0" destOrd="0" presId="urn:microsoft.com/office/officeart/2005/8/layout/hierarchy3"/>
    <dgm:cxn modelId="{856EB862-9130-43C7-A3D4-3BEEAC28F014}" type="presOf" srcId="{6E9EF729-2AB9-49A6-ADEC-0F94F6FEC056}" destId="{C5A17BAA-4863-4ABC-8AEC-0CF9FA05F55B}" srcOrd="0" destOrd="0" presId="urn:microsoft.com/office/officeart/2005/8/layout/hierarchy3"/>
    <dgm:cxn modelId="{24245E4A-6716-49AF-8DCA-365FC56D2B40}" type="presOf" srcId="{801178B6-3EF7-464D-A89F-5DD21E19FF51}" destId="{A36343B6-B0EE-4C79-9F10-66D8BB7E81D7}" srcOrd="0" destOrd="0" presId="urn:microsoft.com/office/officeart/2005/8/layout/hierarchy3"/>
    <dgm:cxn modelId="{B99DBA6E-1CA9-4D63-A0B7-5FA5850C0F99}" srcId="{DE6E49F6-E059-42A9-97D9-14271726E517}" destId="{B0EEA843-A975-4CB0-A844-554A81D980E1}" srcOrd="2" destOrd="0" parTransId="{F64CD162-E805-4F5B-91E2-CFFB494C3751}" sibTransId="{EB0C4BE4-5638-40BE-A9A2-7E8FAB52052C}"/>
    <dgm:cxn modelId="{880AA870-BFB7-47ED-A6DE-8DC653F2A67C}" srcId="{DE6E49F6-E059-42A9-97D9-14271726E517}" destId="{409E1437-AFFE-4A91-BEF0-37FD21446D9A}" srcOrd="3" destOrd="0" parTransId="{A4D4DA02-FB92-4DB9-BA0D-CB94761E7E15}" sibTransId="{90F1F5A2-939A-4A6C-BA1E-88B5E849C2B5}"/>
    <dgm:cxn modelId="{260BE951-FD71-4902-B52D-956547F31CC1}" type="presOf" srcId="{DE6E49F6-E059-42A9-97D9-14271726E517}" destId="{6AA1ECC9-9C8F-4B57-96D0-03A56CFBDB6B}" srcOrd="1" destOrd="0" presId="urn:microsoft.com/office/officeart/2005/8/layout/hierarchy3"/>
    <dgm:cxn modelId="{D7AE7795-0B65-48FD-ADCC-D26FD9B56761}" type="presOf" srcId="{DE6E49F6-E059-42A9-97D9-14271726E517}" destId="{4CE43C56-7B1E-4664-BCBC-8532E99139B9}" srcOrd="0" destOrd="0" presId="urn:microsoft.com/office/officeart/2005/8/layout/hierarchy3"/>
    <dgm:cxn modelId="{CF6BB79B-9D74-43EE-BAC2-D4CE7661BFE2}" type="presOf" srcId="{95B1B15F-F334-4915-84D9-4C8A38177670}" destId="{3F6B9AD7-1482-4B0C-B305-3FA100629A44}" srcOrd="0" destOrd="0" presId="urn:microsoft.com/office/officeart/2005/8/layout/hierarchy3"/>
    <dgm:cxn modelId="{183A3FE2-82A6-4966-84B9-B5EF0F88788F}" srcId="{DE6E49F6-E059-42A9-97D9-14271726E517}" destId="{95B1B15F-F334-4915-84D9-4C8A38177670}" srcOrd="1" destOrd="0" parTransId="{FBA0C38C-9E2A-4C4B-A8D7-E21B3C7262CD}" sibTransId="{330AD25D-B26A-4F1C-BED4-B89F477F3647}"/>
    <dgm:cxn modelId="{A2809CE3-CA54-45CF-A962-94CF265943EC}" srcId="{DE6E49F6-E059-42A9-97D9-14271726E517}" destId="{E209C0C2-2A2E-4971-9B45-9DE7AAD03B99}" srcOrd="0" destOrd="0" parTransId="{6E9EF729-2AB9-49A6-ADEC-0F94F6FEC056}" sibTransId="{A8E66B45-4592-4D45-890E-1C7F58067514}"/>
    <dgm:cxn modelId="{2AA02FFE-3721-4801-8494-56556FD1BC2D}" type="presOf" srcId="{F64CD162-E805-4F5B-91E2-CFFB494C3751}" destId="{72BA6403-4AFA-4F91-A268-432EE7638609}" srcOrd="0" destOrd="0" presId="urn:microsoft.com/office/officeart/2005/8/layout/hierarchy3"/>
    <dgm:cxn modelId="{805296AE-8F7F-4756-A2C4-D8ED24EA293A}" type="presParOf" srcId="{A36343B6-B0EE-4C79-9F10-66D8BB7E81D7}" destId="{41A36AC9-C516-41A1-9C25-69BC27210E90}" srcOrd="0" destOrd="0" presId="urn:microsoft.com/office/officeart/2005/8/layout/hierarchy3"/>
    <dgm:cxn modelId="{122B95CB-185D-4A56-9ECC-0DFCA2C94088}" type="presParOf" srcId="{41A36AC9-C516-41A1-9C25-69BC27210E90}" destId="{56BA7FB3-7886-4616-AC6C-892163FDA4FC}" srcOrd="0" destOrd="0" presId="urn:microsoft.com/office/officeart/2005/8/layout/hierarchy3"/>
    <dgm:cxn modelId="{A66B8321-F37E-4525-A6B4-D73CAF24B307}" type="presParOf" srcId="{56BA7FB3-7886-4616-AC6C-892163FDA4FC}" destId="{4CE43C56-7B1E-4664-BCBC-8532E99139B9}" srcOrd="0" destOrd="0" presId="urn:microsoft.com/office/officeart/2005/8/layout/hierarchy3"/>
    <dgm:cxn modelId="{AA7D3924-FB3A-4E0F-AA5E-46E02B8573FB}" type="presParOf" srcId="{56BA7FB3-7886-4616-AC6C-892163FDA4FC}" destId="{6AA1ECC9-9C8F-4B57-96D0-03A56CFBDB6B}" srcOrd="1" destOrd="0" presId="urn:microsoft.com/office/officeart/2005/8/layout/hierarchy3"/>
    <dgm:cxn modelId="{80B50E59-5CB3-44ED-886F-F3B9E557FA63}" type="presParOf" srcId="{41A36AC9-C516-41A1-9C25-69BC27210E90}" destId="{C370BBC1-10B9-41FE-B1B9-17DD51963E05}" srcOrd="1" destOrd="0" presId="urn:microsoft.com/office/officeart/2005/8/layout/hierarchy3"/>
    <dgm:cxn modelId="{A5B22997-CC4F-436C-8724-21928397CCEB}" type="presParOf" srcId="{C370BBC1-10B9-41FE-B1B9-17DD51963E05}" destId="{C5A17BAA-4863-4ABC-8AEC-0CF9FA05F55B}" srcOrd="0" destOrd="0" presId="urn:microsoft.com/office/officeart/2005/8/layout/hierarchy3"/>
    <dgm:cxn modelId="{F3E391E8-CF78-4B35-A247-6148F45F8846}" type="presParOf" srcId="{C370BBC1-10B9-41FE-B1B9-17DD51963E05}" destId="{8BAEACB1-DDF9-4739-B563-0A76A9D77E8C}" srcOrd="1" destOrd="0" presId="urn:microsoft.com/office/officeart/2005/8/layout/hierarchy3"/>
    <dgm:cxn modelId="{22439DD4-3211-451C-9454-95FB4A790C78}" type="presParOf" srcId="{C370BBC1-10B9-41FE-B1B9-17DD51963E05}" destId="{34C162C6-EDE4-4B78-9EFA-FB011D1478DF}" srcOrd="2" destOrd="0" presId="urn:microsoft.com/office/officeart/2005/8/layout/hierarchy3"/>
    <dgm:cxn modelId="{75699D7A-8FEF-4B64-9458-726B4FD13FF0}" type="presParOf" srcId="{C370BBC1-10B9-41FE-B1B9-17DD51963E05}" destId="{3F6B9AD7-1482-4B0C-B305-3FA100629A44}" srcOrd="3" destOrd="0" presId="urn:microsoft.com/office/officeart/2005/8/layout/hierarchy3"/>
    <dgm:cxn modelId="{89A8A115-9395-48D6-80DE-C245142223A8}" type="presParOf" srcId="{C370BBC1-10B9-41FE-B1B9-17DD51963E05}" destId="{72BA6403-4AFA-4F91-A268-432EE7638609}" srcOrd="4" destOrd="0" presId="urn:microsoft.com/office/officeart/2005/8/layout/hierarchy3"/>
    <dgm:cxn modelId="{27EF9C26-CD63-4FBB-A4CD-D079F1DD5A3B}" type="presParOf" srcId="{C370BBC1-10B9-41FE-B1B9-17DD51963E05}" destId="{1419536B-59E4-479E-9BCD-C7105344757A}" srcOrd="5" destOrd="0" presId="urn:microsoft.com/office/officeart/2005/8/layout/hierarchy3"/>
    <dgm:cxn modelId="{99EA97F4-B36C-4D6E-92A2-A6FE3AEB49E4}" type="presParOf" srcId="{C370BBC1-10B9-41FE-B1B9-17DD51963E05}" destId="{A07F43BB-3C2A-40DB-B055-B74EEA68C6BF}" srcOrd="6" destOrd="0" presId="urn:microsoft.com/office/officeart/2005/8/layout/hierarchy3"/>
    <dgm:cxn modelId="{C6C9642C-85F7-4DD1-8A30-0CE9B8596B20}" type="presParOf" srcId="{C370BBC1-10B9-41FE-B1B9-17DD51963E05}" destId="{70D48EF1-ABEB-4A22-9F6E-017C02318E10}" srcOrd="7" destOrd="0" presId="urn:microsoft.com/office/officeart/2005/8/layout/hierarchy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9B3BD92-4371-4660-9F03-D0C85AE30436}"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PE"/>
        </a:p>
      </dgm:t>
    </dgm:pt>
    <dgm:pt modelId="{30A13A89-EA46-4FA1-99A3-C57ED614870C}">
      <dgm:prSet phldrT="[Texto]" custT="1"/>
      <dgm:spPr>
        <a:xfrm>
          <a:off x="646923" y="378485"/>
          <a:ext cx="1068353" cy="341873"/>
        </a:xfrm>
        <a:prstGeom prst="rect">
          <a:avLst/>
        </a:prstGeom>
        <a:noFill/>
        <a:ln w="12700" cap="flat" cmpd="sng" algn="ctr">
          <a:noFill/>
          <a:prstDash val="solid"/>
          <a:miter lim="800000"/>
        </a:ln>
        <a:effectLst/>
        <a:sp3d/>
      </dgm:spPr>
      <dgm:t>
        <a:bodyPr/>
        <a:lstStyle/>
        <a:p>
          <a:r>
            <a:rPr lang="es-PE"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OPINIONES </a:t>
          </a:r>
        </a:p>
        <a:p>
          <a:r>
            <a:rPr lang="es-PE"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 EXPERTOS</a:t>
          </a:r>
          <a:endParaRPr lang="es-PE"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105B485-0507-45D8-8205-F7913B91351E}" type="parTrans" cxnId="{E3A25B13-87BC-416A-8E87-3331EE4DFC97}">
      <dgm:prSet/>
      <dgm:spPr/>
      <dgm:t>
        <a:bodyPr/>
        <a:lstStyle/>
        <a:p>
          <a:endParaRPr lang="es-PE"/>
        </a:p>
      </dgm:t>
    </dgm:pt>
    <dgm:pt modelId="{02E251F7-21B4-4EEF-B712-F0894815EBE9}" type="sibTrans" cxnId="{E3A25B13-87BC-416A-8E87-3331EE4DFC97}">
      <dgm:prSet/>
      <dgm:spPr/>
      <dgm:t>
        <a:bodyPr/>
        <a:lstStyle/>
        <a:p>
          <a:endParaRPr lang="es-PE"/>
        </a:p>
      </dgm:t>
    </dgm:pt>
    <dgm:pt modelId="{DC967721-6858-46CB-88B6-669546AAABD0}">
      <dgm:prSet phldrT="[Texto]" custT="1"/>
      <dgm:spPr>
        <a:xfrm>
          <a:off x="569" y="1137016"/>
          <a:ext cx="1068353" cy="341873"/>
        </a:xfrm>
        <a:prstGeom prst="rect">
          <a:avLst/>
        </a:prstGeom>
        <a:noFill/>
        <a:ln w="12700" cap="flat" cmpd="sng" algn="ctr">
          <a:noFill/>
          <a:prstDash val="solid"/>
          <a:miter lim="800000"/>
        </a:ln>
        <a:effectLst/>
        <a:sp3d/>
      </dgm:spPr>
      <dgm:t>
        <a:bodyPr/>
        <a:lstStyle/>
        <a:p>
          <a:r>
            <a:rPr lang="es-PE" sz="1000">
              <a:solidFill>
                <a:sysClr val="windowText" lastClr="000000"/>
              </a:solidFill>
              <a:latin typeface="Times New Roman" panose="02020603050405020304" pitchFamily="18" charset="0"/>
              <a:ea typeface="+mn-ea"/>
              <a:cs typeface="Times New Roman" panose="02020603050405020304" pitchFamily="18" charset="0"/>
            </a:rPr>
            <a:t>Francisco Eguiguren Praeli</a:t>
          </a:r>
          <a:endParaRPr lang="es-PE"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2D87241-E27A-4F56-B4CF-BE1878F84DCB}" type="parTrans" cxnId="{BDE1C070-0346-45B8-92E6-12CD8D489D37}">
      <dgm:prSet/>
      <dgm:spPr>
        <a:xfrm>
          <a:off x="534746" y="816510"/>
          <a:ext cx="646353" cy="224354"/>
        </a:xfrm>
        <a:custGeom>
          <a:avLst/>
          <a:gdLst/>
          <a:ahLst/>
          <a:cxnLst/>
          <a:rect l="0" t="0" r="0" b="0"/>
          <a:pathLst>
            <a:path>
              <a:moveTo>
                <a:pt x="646353" y="0"/>
              </a:moveTo>
              <a:lnTo>
                <a:pt x="646353" y="112177"/>
              </a:lnTo>
              <a:lnTo>
                <a:pt x="0" y="112177"/>
              </a:lnTo>
              <a:lnTo>
                <a:pt x="0" y="224354"/>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PE"/>
        </a:p>
      </dgm:t>
    </dgm:pt>
    <dgm:pt modelId="{62230BC8-C2EA-40F6-BBFC-FDF9A30188BC}" type="sibTrans" cxnId="{BDE1C070-0346-45B8-92E6-12CD8D489D37}">
      <dgm:prSet/>
      <dgm:spPr/>
      <dgm:t>
        <a:bodyPr/>
        <a:lstStyle/>
        <a:p>
          <a:endParaRPr lang="es-PE"/>
        </a:p>
      </dgm:t>
    </dgm:pt>
    <dgm:pt modelId="{46D3089E-E016-485C-865B-02F60C7CFDD1}">
      <dgm:prSet phldrT="[Texto]" custT="1"/>
      <dgm:spPr>
        <a:xfrm>
          <a:off x="1293277" y="1137016"/>
          <a:ext cx="1068353" cy="341873"/>
        </a:xfrm>
        <a:prstGeom prst="rect">
          <a:avLst/>
        </a:prstGeom>
        <a:noFill/>
        <a:ln w="12700" cap="flat" cmpd="sng" algn="ctr">
          <a:noFill/>
          <a:prstDash val="solid"/>
          <a:miter lim="800000"/>
        </a:ln>
        <a:effectLst/>
        <a:sp3d/>
      </dgm:spPr>
      <dgm:t>
        <a:bodyPr/>
        <a:lstStyle/>
        <a:p>
          <a:r>
            <a:rPr lang="es-PE" sz="1000">
              <a:solidFill>
                <a:sysClr val="windowText" lastClr="000000"/>
              </a:solidFill>
              <a:latin typeface="Times New Roman" panose="02020603050405020304" pitchFamily="18" charset="0"/>
              <a:ea typeface="+mn-ea"/>
              <a:cs typeface="Times New Roman" panose="02020603050405020304" pitchFamily="18" charset="0"/>
            </a:rPr>
            <a:t>Birdart Campos</a:t>
          </a:r>
          <a:endParaRPr lang="es-PE"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308EA18C-4C39-45F8-871E-43D57CB1E1B5}" type="parTrans" cxnId="{97AA9C32-85A5-4B8C-9575-EF3A370E828A}">
      <dgm:prSet/>
      <dgm:spPr>
        <a:xfrm>
          <a:off x="1181099" y="816510"/>
          <a:ext cx="646353" cy="224354"/>
        </a:xfrm>
        <a:custGeom>
          <a:avLst/>
          <a:gdLst/>
          <a:ahLst/>
          <a:cxnLst/>
          <a:rect l="0" t="0" r="0" b="0"/>
          <a:pathLst>
            <a:path>
              <a:moveTo>
                <a:pt x="0" y="0"/>
              </a:moveTo>
              <a:lnTo>
                <a:pt x="0" y="112177"/>
              </a:lnTo>
              <a:lnTo>
                <a:pt x="646353" y="112177"/>
              </a:lnTo>
              <a:lnTo>
                <a:pt x="646353" y="224354"/>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s-PE"/>
        </a:p>
      </dgm:t>
    </dgm:pt>
    <dgm:pt modelId="{DDCC6830-D94B-41CE-A2C1-00C4E8F3616B}" type="sibTrans" cxnId="{97AA9C32-85A5-4B8C-9575-EF3A370E828A}">
      <dgm:prSet/>
      <dgm:spPr/>
      <dgm:t>
        <a:bodyPr/>
        <a:lstStyle/>
        <a:p>
          <a:endParaRPr lang="es-PE"/>
        </a:p>
      </dgm:t>
    </dgm:pt>
    <dgm:pt modelId="{99829869-84BF-4CA7-BAA3-2E584175960B}" type="pres">
      <dgm:prSet presAssocID="{29B3BD92-4371-4660-9F03-D0C85AE30436}" presName="Name0" presStyleCnt="0">
        <dgm:presLayoutVars>
          <dgm:orgChart val="1"/>
          <dgm:chPref val="1"/>
          <dgm:dir/>
          <dgm:animOne val="branch"/>
          <dgm:animLvl val="lvl"/>
          <dgm:resizeHandles/>
        </dgm:presLayoutVars>
      </dgm:prSet>
      <dgm:spPr/>
    </dgm:pt>
    <dgm:pt modelId="{DD4974CA-B1FD-4E20-B7C7-AF9F63940618}" type="pres">
      <dgm:prSet presAssocID="{30A13A89-EA46-4FA1-99A3-C57ED614870C}" presName="hierRoot1" presStyleCnt="0">
        <dgm:presLayoutVars>
          <dgm:hierBranch val="init"/>
        </dgm:presLayoutVars>
      </dgm:prSet>
      <dgm:spPr/>
    </dgm:pt>
    <dgm:pt modelId="{877B6454-0911-4B0D-B85C-45C5DEE9CB61}" type="pres">
      <dgm:prSet presAssocID="{30A13A89-EA46-4FA1-99A3-C57ED614870C}" presName="rootComposite1" presStyleCnt="0"/>
      <dgm:spPr/>
    </dgm:pt>
    <dgm:pt modelId="{8CD81BB5-3BCE-4B0D-A615-034228E1C0B0}" type="pres">
      <dgm:prSet presAssocID="{30A13A89-EA46-4FA1-99A3-C57ED614870C}" presName="rootText1" presStyleLbl="alignAcc1" presStyleIdx="0" presStyleCnt="0">
        <dgm:presLayoutVars>
          <dgm:chPref val="3"/>
        </dgm:presLayoutVars>
      </dgm:prSet>
      <dgm:spPr/>
    </dgm:pt>
    <dgm:pt modelId="{72E7A82E-618C-4DD8-9272-F6E85280CA09}" type="pres">
      <dgm:prSet presAssocID="{30A13A89-EA46-4FA1-99A3-C57ED614870C}" presName="topArc1" presStyleLbl="parChTrans1D1" presStyleIdx="0" presStyleCnt="6"/>
      <dgm:spPr>
        <a:xfrm>
          <a:off x="914011" y="282333"/>
          <a:ext cx="534176" cy="534176"/>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89665D32-9094-47CE-BEC6-9B64946C6CEE}" type="pres">
      <dgm:prSet presAssocID="{30A13A89-EA46-4FA1-99A3-C57ED614870C}" presName="bottomArc1" presStyleLbl="parChTrans1D1" presStyleIdx="1" presStyleCnt="6"/>
      <dgm:spPr>
        <a:xfrm>
          <a:off x="914011" y="282333"/>
          <a:ext cx="534176" cy="534176"/>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B7462281-51FB-4F6B-8074-B9A06A6CC6D6}" type="pres">
      <dgm:prSet presAssocID="{30A13A89-EA46-4FA1-99A3-C57ED614870C}" presName="topConnNode1" presStyleLbl="node1" presStyleIdx="0" presStyleCnt="0"/>
      <dgm:spPr/>
    </dgm:pt>
    <dgm:pt modelId="{67217C14-84C1-4968-BFBF-0EDA8FF23B7F}" type="pres">
      <dgm:prSet presAssocID="{30A13A89-EA46-4FA1-99A3-C57ED614870C}" presName="hierChild2" presStyleCnt="0"/>
      <dgm:spPr/>
    </dgm:pt>
    <dgm:pt modelId="{EB11C662-F929-4E6B-986F-82D408EBCA4A}" type="pres">
      <dgm:prSet presAssocID="{B2D87241-E27A-4F56-B4CF-BE1878F84DCB}" presName="Name28" presStyleLbl="parChTrans1D2" presStyleIdx="0" presStyleCnt="2"/>
      <dgm:spPr/>
    </dgm:pt>
    <dgm:pt modelId="{552D28EC-11BE-4126-AECA-607C0310C42E}" type="pres">
      <dgm:prSet presAssocID="{DC967721-6858-46CB-88B6-669546AAABD0}" presName="hierRoot2" presStyleCnt="0">
        <dgm:presLayoutVars>
          <dgm:hierBranch val="init"/>
        </dgm:presLayoutVars>
      </dgm:prSet>
      <dgm:spPr/>
    </dgm:pt>
    <dgm:pt modelId="{428E8897-83FF-4DEA-885F-2BC324DC1495}" type="pres">
      <dgm:prSet presAssocID="{DC967721-6858-46CB-88B6-669546AAABD0}" presName="rootComposite2" presStyleCnt="0"/>
      <dgm:spPr/>
    </dgm:pt>
    <dgm:pt modelId="{AE3F1F27-A34C-4A3C-B6AE-EEC9BBB1E046}" type="pres">
      <dgm:prSet presAssocID="{DC967721-6858-46CB-88B6-669546AAABD0}" presName="rootText2" presStyleLbl="alignAcc1" presStyleIdx="0" presStyleCnt="0">
        <dgm:presLayoutVars>
          <dgm:chPref val="3"/>
        </dgm:presLayoutVars>
      </dgm:prSet>
      <dgm:spPr/>
    </dgm:pt>
    <dgm:pt modelId="{00C975D1-177C-4A92-92CB-D6B52BA47601}" type="pres">
      <dgm:prSet presAssocID="{DC967721-6858-46CB-88B6-669546AAABD0}" presName="topArc2" presStyleLbl="parChTrans1D1" presStyleIdx="2" presStyleCnt="6"/>
      <dgm:spPr>
        <a:xfrm>
          <a:off x="267657" y="1040864"/>
          <a:ext cx="534176" cy="534176"/>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2F95A9E8-0895-4CCC-AFBE-8CC25DBB3841}" type="pres">
      <dgm:prSet presAssocID="{DC967721-6858-46CB-88B6-669546AAABD0}" presName="bottomArc2" presStyleLbl="parChTrans1D1" presStyleIdx="3" presStyleCnt="6"/>
      <dgm:spPr>
        <a:xfrm>
          <a:off x="267657" y="1040864"/>
          <a:ext cx="534176" cy="534176"/>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72FC5DA4-DC72-4DBA-8FDF-8702C9EDFD8C}" type="pres">
      <dgm:prSet presAssocID="{DC967721-6858-46CB-88B6-669546AAABD0}" presName="topConnNode2" presStyleLbl="node2" presStyleIdx="0" presStyleCnt="0"/>
      <dgm:spPr/>
    </dgm:pt>
    <dgm:pt modelId="{6A2D35A2-33D7-45FA-A9AA-01D732285DA3}" type="pres">
      <dgm:prSet presAssocID="{DC967721-6858-46CB-88B6-669546AAABD0}" presName="hierChild4" presStyleCnt="0"/>
      <dgm:spPr/>
    </dgm:pt>
    <dgm:pt modelId="{335CE5B8-9D17-4437-BB3E-467E2D6A50CE}" type="pres">
      <dgm:prSet presAssocID="{DC967721-6858-46CB-88B6-669546AAABD0}" presName="hierChild5" presStyleCnt="0"/>
      <dgm:spPr/>
    </dgm:pt>
    <dgm:pt modelId="{BED33C4C-7736-4879-8934-3AE588086D88}" type="pres">
      <dgm:prSet presAssocID="{308EA18C-4C39-45F8-871E-43D57CB1E1B5}" presName="Name28" presStyleLbl="parChTrans1D2" presStyleIdx="1" presStyleCnt="2"/>
      <dgm:spPr/>
    </dgm:pt>
    <dgm:pt modelId="{A2B2C2B7-9D23-4703-861B-CD22D2063CD7}" type="pres">
      <dgm:prSet presAssocID="{46D3089E-E016-485C-865B-02F60C7CFDD1}" presName="hierRoot2" presStyleCnt="0">
        <dgm:presLayoutVars>
          <dgm:hierBranch val="init"/>
        </dgm:presLayoutVars>
      </dgm:prSet>
      <dgm:spPr/>
    </dgm:pt>
    <dgm:pt modelId="{F65A6AA7-7441-4DA8-982B-07BFA41782EC}" type="pres">
      <dgm:prSet presAssocID="{46D3089E-E016-485C-865B-02F60C7CFDD1}" presName="rootComposite2" presStyleCnt="0"/>
      <dgm:spPr/>
    </dgm:pt>
    <dgm:pt modelId="{8F291B5A-3BD0-4CDA-9241-9F78C98E4A59}" type="pres">
      <dgm:prSet presAssocID="{46D3089E-E016-485C-865B-02F60C7CFDD1}" presName="rootText2" presStyleLbl="alignAcc1" presStyleIdx="0" presStyleCnt="0">
        <dgm:presLayoutVars>
          <dgm:chPref val="3"/>
        </dgm:presLayoutVars>
      </dgm:prSet>
      <dgm:spPr/>
    </dgm:pt>
    <dgm:pt modelId="{2A83207E-6474-470A-97E5-A42AB06B0974}" type="pres">
      <dgm:prSet presAssocID="{46D3089E-E016-485C-865B-02F60C7CFDD1}" presName="topArc2" presStyleLbl="parChTrans1D1" presStyleIdx="4" presStyleCnt="6"/>
      <dgm:spPr>
        <a:xfrm>
          <a:off x="1560365" y="1040864"/>
          <a:ext cx="534176" cy="534176"/>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gm:spPr>
    </dgm:pt>
    <dgm:pt modelId="{F397C667-E0BD-46BC-8513-AC3002050E01}" type="pres">
      <dgm:prSet presAssocID="{46D3089E-E016-485C-865B-02F60C7CFDD1}" presName="bottomArc2" presStyleLbl="parChTrans1D1" presStyleIdx="5" presStyleCnt="6"/>
      <dgm:spPr>
        <a:xfrm>
          <a:off x="1560365" y="1040864"/>
          <a:ext cx="534176" cy="534176"/>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gm:spPr>
    </dgm:pt>
    <dgm:pt modelId="{A7FC2DAA-4408-47F9-B19C-30F84FD35E78}" type="pres">
      <dgm:prSet presAssocID="{46D3089E-E016-485C-865B-02F60C7CFDD1}" presName="topConnNode2" presStyleLbl="node2" presStyleIdx="0" presStyleCnt="0"/>
      <dgm:spPr/>
    </dgm:pt>
    <dgm:pt modelId="{00EC02EE-B955-45FF-B6A6-575A672CC9BD}" type="pres">
      <dgm:prSet presAssocID="{46D3089E-E016-485C-865B-02F60C7CFDD1}" presName="hierChild4" presStyleCnt="0"/>
      <dgm:spPr/>
    </dgm:pt>
    <dgm:pt modelId="{E2D9CAAB-329B-4D31-B382-1A72B92DFEFA}" type="pres">
      <dgm:prSet presAssocID="{46D3089E-E016-485C-865B-02F60C7CFDD1}" presName="hierChild5" presStyleCnt="0"/>
      <dgm:spPr/>
    </dgm:pt>
    <dgm:pt modelId="{72E7A687-6478-4CBA-97C9-F63267B055DD}" type="pres">
      <dgm:prSet presAssocID="{30A13A89-EA46-4FA1-99A3-C57ED614870C}" presName="hierChild3" presStyleCnt="0"/>
      <dgm:spPr/>
    </dgm:pt>
  </dgm:ptLst>
  <dgm:cxnLst>
    <dgm:cxn modelId="{15422E01-B5CD-4E7F-B2CC-F014287597EB}" type="presOf" srcId="{30A13A89-EA46-4FA1-99A3-C57ED614870C}" destId="{B7462281-51FB-4F6B-8074-B9A06A6CC6D6}" srcOrd="1" destOrd="0" presId="urn:microsoft.com/office/officeart/2008/layout/HalfCircleOrganizationChart"/>
    <dgm:cxn modelId="{E3A25B13-87BC-416A-8E87-3331EE4DFC97}" srcId="{29B3BD92-4371-4660-9F03-D0C85AE30436}" destId="{30A13A89-EA46-4FA1-99A3-C57ED614870C}" srcOrd="0" destOrd="0" parTransId="{8105B485-0507-45D8-8205-F7913B91351E}" sibTransId="{02E251F7-21B4-4EEF-B712-F0894815EBE9}"/>
    <dgm:cxn modelId="{97AA9C32-85A5-4B8C-9575-EF3A370E828A}" srcId="{30A13A89-EA46-4FA1-99A3-C57ED614870C}" destId="{46D3089E-E016-485C-865B-02F60C7CFDD1}" srcOrd="1" destOrd="0" parTransId="{308EA18C-4C39-45F8-871E-43D57CB1E1B5}" sibTransId="{DDCC6830-D94B-41CE-A2C1-00C4E8F3616B}"/>
    <dgm:cxn modelId="{419B1D5D-5340-412F-9A03-B8A5BACE40A9}" type="presOf" srcId="{29B3BD92-4371-4660-9F03-D0C85AE30436}" destId="{99829869-84BF-4CA7-BAA3-2E584175960B}" srcOrd="0" destOrd="0" presId="urn:microsoft.com/office/officeart/2008/layout/HalfCircleOrganizationChart"/>
    <dgm:cxn modelId="{5920644B-59DE-47F8-8AF5-8523CDD52CB7}" type="presOf" srcId="{DC967721-6858-46CB-88B6-669546AAABD0}" destId="{72FC5DA4-DC72-4DBA-8FDF-8702C9EDFD8C}" srcOrd="1" destOrd="0" presId="urn:microsoft.com/office/officeart/2008/layout/HalfCircleOrganizationChart"/>
    <dgm:cxn modelId="{BDE1C070-0346-45B8-92E6-12CD8D489D37}" srcId="{30A13A89-EA46-4FA1-99A3-C57ED614870C}" destId="{DC967721-6858-46CB-88B6-669546AAABD0}" srcOrd="0" destOrd="0" parTransId="{B2D87241-E27A-4F56-B4CF-BE1878F84DCB}" sibTransId="{62230BC8-C2EA-40F6-BBFC-FDF9A30188BC}"/>
    <dgm:cxn modelId="{DAB12A58-6DB5-47E0-B482-D919CBFC42E7}" type="presOf" srcId="{B2D87241-E27A-4F56-B4CF-BE1878F84DCB}" destId="{EB11C662-F929-4E6B-986F-82D408EBCA4A}" srcOrd="0" destOrd="0" presId="urn:microsoft.com/office/officeart/2008/layout/HalfCircleOrganizationChart"/>
    <dgm:cxn modelId="{1D109F80-8A6E-4462-B919-1753BB882E72}" type="presOf" srcId="{DC967721-6858-46CB-88B6-669546AAABD0}" destId="{AE3F1F27-A34C-4A3C-B6AE-EEC9BBB1E046}" srcOrd="0" destOrd="0" presId="urn:microsoft.com/office/officeart/2008/layout/HalfCircleOrganizationChart"/>
    <dgm:cxn modelId="{37715A83-A593-4C20-874E-EAF58F40A25E}" type="presOf" srcId="{46D3089E-E016-485C-865B-02F60C7CFDD1}" destId="{8F291B5A-3BD0-4CDA-9241-9F78C98E4A59}" srcOrd="0" destOrd="0" presId="urn:microsoft.com/office/officeart/2008/layout/HalfCircleOrganizationChart"/>
    <dgm:cxn modelId="{920B6F9E-DE39-4436-AD8E-528C12F35905}" type="presOf" srcId="{46D3089E-E016-485C-865B-02F60C7CFDD1}" destId="{A7FC2DAA-4408-47F9-B19C-30F84FD35E78}" srcOrd="1" destOrd="0" presId="urn:microsoft.com/office/officeart/2008/layout/HalfCircleOrganizationChart"/>
    <dgm:cxn modelId="{71D212BF-FEBF-492C-9FC1-456B55A41B16}" type="presOf" srcId="{30A13A89-EA46-4FA1-99A3-C57ED614870C}" destId="{8CD81BB5-3BCE-4B0D-A615-034228E1C0B0}" srcOrd="0" destOrd="0" presId="urn:microsoft.com/office/officeart/2008/layout/HalfCircleOrganizationChart"/>
    <dgm:cxn modelId="{91398FE1-D4E8-43D7-BCF6-A61DAD78B76C}" type="presOf" srcId="{308EA18C-4C39-45F8-871E-43D57CB1E1B5}" destId="{BED33C4C-7736-4879-8934-3AE588086D88}" srcOrd="0" destOrd="0" presId="urn:microsoft.com/office/officeart/2008/layout/HalfCircleOrganizationChart"/>
    <dgm:cxn modelId="{60234DCE-6672-4CD7-8BF0-BEDB5B043E2C}" type="presParOf" srcId="{99829869-84BF-4CA7-BAA3-2E584175960B}" destId="{DD4974CA-B1FD-4E20-B7C7-AF9F63940618}" srcOrd="0" destOrd="0" presId="urn:microsoft.com/office/officeart/2008/layout/HalfCircleOrganizationChart"/>
    <dgm:cxn modelId="{4CCBD50C-9070-404B-947C-155226C0E8D6}" type="presParOf" srcId="{DD4974CA-B1FD-4E20-B7C7-AF9F63940618}" destId="{877B6454-0911-4B0D-B85C-45C5DEE9CB61}" srcOrd="0" destOrd="0" presId="urn:microsoft.com/office/officeart/2008/layout/HalfCircleOrganizationChart"/>
    <dgm:cxn modelId="{A58960FF-31ED-4CCC-8916-FAE62AB75683}" type="presParOf" srcId="{877B6454-0911-4B0D-B85C-45C5DEE9CB61}" destId="{8CD81BB5-3BCE-4B0D-A615-034228E1C0B0}" srcOrd="0" destOrd="0" presId="urn:microsoft.com/office/officeart/2008/layout/HalfCircleOrganizationChart"/>
    <dgm:cxn modelId="{99BC6A3B-82E5-4EE2-AA14-9D421C948F2B}" type="presParOf" srcId="{877B6454-0911-4B0D-B85C-45C5DEE9CB61}" destId="{72E7A82E-618C-4DD8-9272-F6E85280CA09}" srcOrd="1" destOrd="0" presId="urn:microsoft.com/office/officeart/2008/layout/HalfCircleOrganizationChart"/>
    <dgm:cxn modelId="{01C67714-8F76-420F-A17A-AA497442A06E}" type="presParOf" srcId="{877B6454-0911-4B0D-B85C-45C5DEE9CB61}" destId="{89665D32-9094-47CE-BEC6-9B64946C6CEE}" srcOrd="2" destOrd="0" presId="urn:microsoft.com/office/officeart/2008/layout/HalfCircleOrganizationChart"/>
    <dgm:cxn modelId="{952539CE-5EEF-4DB8-8413-E71B1D5F9492}" type="presParOf" srcId="{877B6454-0911-4B0D-B85C-45C5DEE9CB61}" destId="{B7462281-51FB-4F6B-8074-B9A06A6CC6D6}" srcOrd="3" destOrd="0" presId="urn:microsoft.com/office/officeart/2008/layout/HalfCircleOrganizationChart"/>
    <dgm:cxn modelId="{623EDD1A-63C5-4D1B-BA17-BA4778DF12AF}" type="presParOf" srcId="{DD4974CA-B1FD-4E20-B7C7-AF9F63940618}" destId="{67217C14-84C1-4968-BFBF-0EDA8FF23B7F}" srcOrd="1" destOrd="0" presId="urn:microsoft.com/office/officeart/2008/layout/HalfCircleOrganizationChart"/>
    <dgm:cxn modelId="{1D9030CE-3212-45D2-9B13-7FDBB812732B}" type="presParOf" srcId="{67217C14-84C1-4968-BFBF-0EDA8FF23B7F}" destId="{EB11C662-F929-4E6B-986F-82D408EBCA4A}" srcOrd="0" destOrd="0" presId="urn:microsoft.com/office/officeart/2008/layout/HalfCircleOrganizationChart"/>
    <dgm:cxn modelId="{D04D3740-79C5-4AFA-87A6-967593E8EC89}" type="presParOf" srcId="{67217C14-84C1-4968-BFBF-0EDA8FF23B7F}" destId="{552D28EC-11BE-4126-AECA-607C0310C42E}" srcOrd="1" destOrd="0" presId="urn:microsoft.com/office/officeart/2008/layout/HalfCircleOrganizationChart"/>
    <dgm:cxn modelId="{F4C0A3C5-05C4-4853-84A3-99502A2588AE}" type="presParOf" srcId="{552D28EC-11BE-4126-AECA-607C0310C42E}" destId="{428E8897-83FF-4DEA-885F-2BC324DC1495}" srcOrd="0" destOrd="0" presId="urn:microsoft.com/office/officeart/2008/layout/HalfCircleOrganizationChart"/>
    <dgm:cxn modelId="{3F0CFBA0-C072-4142-9FB3-C19770CB2AC4}" type="presParOf" srcId="{428E8897-83FF-4DEA-885F-2BC324DC1495}" destId="{AE3F1F27-A34C-4A3C-B6AE-EEC9BBB1E046}" srcOrd="0" destOrd="0" presId="urn:microsoft.com/office/officeart/2008/layout/HalfCircleOrganizationChart"/>
    <dgm:cxn modelId="{50FE6006-6E6A-4907-B49E-44F1B492C9A1}" type="presParOf" srcId="{428E8897-83FF-4DEA-885F-2BC324DC1495}" destId="{00C975D1-177C-4A92-92CB-D6B52BA47601}" srcOrd="1" destOrd="0" presId="urn:microsoft.com/office/officeart/2008/layout/HalfCircleOrganizationChart"/>
    <dgm:cxn modelId="{BAA52C74-828A-4878-B07F-6F0745FBCE11}" type="presParOf" srcId="{428E8897-83FF-4DEA-885F-2BC324DC1495}" destId="{2F95A9E8-0895-4CCC-AFBE-8CC25DBB3841}" srcOrd="2" destOrd="0" presId="urn:microsoft.com/office/officeart/2008/layout/HalfCircleOrganizationChart"/>
    <dgm:cxn modelId="{4C8D9C55-631B-4B68-9B9A-43C0EBAB3D8B}" type="presParOf" srcId="{428E8897-83FF-4DEA-885F-2BC324DC1495}" destId="{72FC5DA4-DC72-4DBA-8FDF-8702C9EDFD8C}" srcOrd="3" destOrd="0" presId="urn:microsoft.com/office/officeart/2008/layout/HalfCircleOrganizationChart"/>
    <dgm:cxn modelId="{A5525E51-7653-466C-9B22-E84754005E5E}" type="presParOf" srcId="{552D28EC-11BE-4126-AECA-607C0310C42E}" destId="{6A2D35A2-33D7-45FA-A9AA-01D732285DA3}" srcOrd="1" destOrd="0" presId="urn:microsoft.com/office/officeart/2008/layout/HalfCircleOrganizationChart"/>
    <dgm:cxn modelId="{8C1B6F6A-8C83-4842-91BA-E9C0C2182969}" type="presParOf" srcId="{552D28EC-11BE-4126-AECA-607C0310C42E}" destId="{335CE5B8-9D17-4437-BB3E-467E2D6A50CE}" srcOrd="2" destOrd="0" presId="urn:microsoft.com/office/officeart/2008/layout/HalfCircleOrganizationChart"/>
    <dgm:cxn modelId="{E8C05D40-3424-4127-B0B3-8129C16C275B}" type="presParOf" srcId="{67217C14-84C1-4968-BFBF-0EDA8FF23B7F}" destId="{BED33C4C-7736-4879-8934-3AE588086D88}" srcOrd="2" destOrd="0" presId="urn:microsoft.com/office/officeart/2008/layout/HalfCircleOrganizationChart"/>
    <dgm:cxn modelId="{3502A7B1-34FD-4701-95AD-D7BA5E8E3799}" type="presParOf" srcId="{67217C14-84C1-4968-BFBF-0EDA8FF23B7F}" destId="{A2B2C2B7-9D23-4703-861B-CD22D2063CD7}" srcOrd="3" destOrd="0" presId="urn:microsoft.com/office/officeart/2008/layout/HalfCircleOrganizationChart"/>
    <dgm:cxn modelId="{C790E83C-3BCB-4250-ACF2-961B8C3FD84A}" type="presParOf" srcId="{A2B2C2B7-9D23-4703-861B-CD22D2063CD7}" destId="{F65A6AA7-7441-4DA8-982B-07BFA41782EC}" srcOrd="0" destOrd="0" presId="urn:microsoft.com/office/officeart/2008/layout/HalfCircleOrganizationChart"/>
    <dgm:cxn modelId="{C711CB5D-9424-465E-B2B6-B01B3DBE6F84}" type="presParOf" srcId="{F65A6AA7-7441-4DA8-982B-07BFA41782EC}" destId="{8F291B5A-3BD0-4CDA-9241-9F78C98E4A59}" srcOrd="0" destOrd="0" presId="urn:microsoft.com/office/officeart/2008/layout/HalfCircleOrganizationChart"/>
    <dgm:cxn modelId="{93249BF1-4EAE-43E9-9649-EB4A81104037}" type="presParOf" srcId="{F65A6AA7-7441-4DA8-982B-07BFA41782EC}" destId="{2A83207E-6474-470A-97E5-A42AB06B0974}" srcOrd="1" destOrd="0" presId="urn:microsoft.com/office/officeart/2008/layout/HalfCircleOrganizationChart"/>
    <dgm:cxn modelId="{06FE8C59-CA81-4515-B1F7-008F0EC82521}" type="presParOf" srcId="{F65A6AA7-7441-4DA8-982B-07BFA41782EC}" destId="{F397C667-E0BD-46BC-8513-AC3002050E01}" srcOrd="2" destOrd="0" presId="urn:microsoft.com/office/officeart/2008/layout/HalfCircleOrganizationChart"/>
    <dgm:cxn modelId="{BA12ED38-D3E5-4D9C-B580-E5AD16B5297E}" type="presParOf" srcId="{F65A6AA7-7441-4DA8-982B-07BFA41782EC}" destId="{A7FC2DAA-4408-47F9-B19C-30F84FD35E78}" srcOrd="3" destOrd="0" presId="urn:microsoft.com/office/officeart/2008/layout/HalfCircleOrganizationChart"/>
    <dgm:cxn modelId="{503DECE3-C367-4BA9-A514-DEA2683807EA}" type="presParOf" srcId="{A2B2C2B7-9D23-4703-861B-CD22D2063CD7}" destId="{00EC02EE-B955-45FF-B6A6-575A672CC9BD}" srcOrd="1" destOrd="0" presId="urn:microsoft.com/office/officeart/2008/layout/HalfCircleOrganizationChart"/>
    <dgm:cxn modelId="{FCE31BAC-EA5A-4FF4-9C05-F8A3B08099D9}" type="presParOf" srcId="{A2B2C2B7-9D23-4703-861B-CD22D2063CD7}" destId="{E2D9CAAB-329B-4D31-B382-1A72B92DFEFA}" srcOrd="2" destOrd="0" presId="urn:microsoft.com/office/officeart/2008/layout/HalfCircleOrganizationChart"/>
    <dgm:cxn modelId="{B3D5BF88-FC21-4150-971D-56C56D9A5463}" type="presParOf" srcId="{DD4974CA-B1FD-4E20-B7C7-AF9F63940618}" destId="{72E7A687-6478-4CBA-97C9-F63267B055DD}" srcOrd="2" destOrd="0" presId="urn:microsoft.com/office/officeart/2008/layout/HalfCircleOrganization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E694862-CFDC-4E6D-915D-15887D9BDB69}" type="doc">
      <dgm:prSet loTypeId="urn:microsoft.com/office/officeart/2005/8/layout/lProcess1" loCatId="process" qsTypeId="urn:microsoft.com/office/officeart/2005/8/quickstyle/simple1" qsCatId="simple" csTypeId="urn:microsoft.com/office/officeart/2005/8/colors/accent0_3" csCatId="mainScheme" phldr="1"/>
      <dgm:spPr/>
      <dgm:t>
        <a:bodyPr/>
        <a:lstStyle/>
        <a:p>
          <a:endParaRPr lang="es-PE"/>
        </a:p>
      </dgm:t>
    </dgm:pt>
    <dgm:pt modelId="{FB24E2B1-E01E-4365-8F97-50414A8F3F4A}">
      <dgm:prSet phldrT="[Texto]" custT="1"/>
      <dgm:spPr>
        <a:xfrm>
          <a:off x="208433" y="2004"/>
          <a:ext cx="2116782" cy="529195"/>
        </a:xfrm>
        <a:prstGeom prst="roundRect">
          <a:avLst>
            <a:gd name="adj" fmla="val 1000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s-PE" sz="900" b="1">
              <a:solidFill>
                <a:sysClr val="window" lastClr="FFFFFF"/>
              </a:solidFill>
              <a:latin typeface="Times New Roman" panose="02020603050405020304" pitchFamily="18" charset="0"/>
              <a:ea typeface="+mn-ea"/>
              <a:cs typeface="Times New Roman" panose="02020603050405020304" pitchFamily="18" charset="0"/>
            </a:rPr>
            <a:t>ASPECTOS QUE DEBE CONTEMPLAR UNA MODIFICATORIA LEGISLATIVA</a:t>
          </a:r>
        </a:p>
      </dgm:t>
    </dgm:pt>
    <dgm:pt modelId="{87875CAB-46E3-499A-B40A-EB1A43171C66}" type="parTrans" cxnId="{35EB705A-0980-4A02-94C5-D8B0D39920AB}">
      <dgm:prSet/>
      <dgm:spPr/>
      <dgm:t>
        <a:bodyPr/>
        <a:lstStyle/>
        <a:p>
          <a:endParaRPr lang="es-PE"/>
        </a:p>
      </dgm:t>
    </dgm:pt>
    <dgm:pt modelId="{C76BDAAD-E9FE-45FF-84F5-D034B0E314A9}" type="sibTrans" cxnId="{35EB705A-0980-4A02-94C5-D8B0D39920AB}">
      <dgm:prSet/>
      <dgm:spPr/>
      <dgm:t>
        <a:bodyPr/>
        <a:lstStyle/>
        <a:p>
          <a:endParaRPr lang="es-PE"/>
        </a:p>
      </dgm:t>
    </dgm:pt>
    <dgm:pt modelId="{E3603EF3-3D15-4E1F-8C20-7941FDAB860F}">
      <dgm:prSet phldrT="[Texto]" custT="1"/>
      <dgm:spPr>
        <a:xfrm>
          <a:off x="208433" y="716418"/>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conductas que generan incapacidad moral a los funcionarios</a:t>
          </a:r>
        </a:p>
      </dgm:t>
    </dgm:pt>
    <dgm:pt modelId="{1E3F9722-6681-499C-8D9E-81368B04A986}" type="parTrans" cxnId="{3A4E9BCB-785C-4C97-ADDD-A156059D4E22}">
      <dgm:prSet/>
      <dgm:spPr>
        <a:xfrm rot="5400000">
          <a:off x="1220520" y="577504"/>
          <a:ext cx="92609" cy="92609"/>
        </a:xfrm>
        <a:prstGeom prst="rightArrow">
          <a:avLst>
            <a:gd name="adj1" fmla="val 66700"/>
            <a:gd name="adj2" fmla="val 50000"/>
          </a:avLst>
        </a:prstGeom>
        <a:solidFill>
          <a:srgbClr val="44546A">
            <a:tint val="60000"/>
            <a:hueOff val="0"/>
            <a:satOff val="0"/>
            <a:lumOff val="0"/>
            <a:alphaOff val="0"/>
          </a:srgbClr>
        </a:solidFill>
        <a:ln>
          <a:noFill/>
        </a:ln>
        <a:effectLst/>
      </dgm:spPr>
      <dgm:t>
        <a:bodyPr/>
        <a:lstStyle/>
        <a:p>
          <a:endParaRPr lang="es-PE"/>
        </a:p>
      </dgm:t>
    </dgm:pt>
    <dgm:pt modelId="{6A820DCF-B380-4D6D-B4F1-1878F6FD91B3}" type="sibTrans" cxnId="{3A4E9BCB-785C-4C97-ADDD-A156059D4E22}">
      <dgm:prSet/>
      <dgm:spPr>
        <a:xfrm rot="5400000">
          <a:off x="1220520" y="1291918"/>
          <a:ext cx="92609" cy="92609"/>
        </a:xfrm>
        <a:prstGeom prst="rightArrow">
          <a:avLst>
            <a:gd name="adj1" fmla="val 66700"/>
            <a:gd name="adj2" fmla="val 50000"/>
          </a:avLst>
        </a:prstGeom>
        <a:solidFill>
          <a:srgbClr val="44546A">
            <a:tint val="60000"/>
            <a:hueOff val="0"/>
            <a:satOff val="0"/>
            <a:lumOff val="0"/>
            <a:alphaOff val="0"/>
          </a:srgbClr>
        </a:solidFill>
        <a:ln>
          <a:noFill/>
        </a:ln>
        <a:effectLst/>
      </dgm:spPr>
      <dgm:t>
        <a:bodyPr/>
        <a:lstStyle/>
        <a:p>
          <a:endParaRPr lang="es-PE"/>
        </a:p>
      </dgm:t>
    </dgm:pt>
    <dgm:pt modelId="{42690386-C3DA-47D8-BE33-4A382421C586}">
      <dgm:prSet phldrT="[Texto]" custT="1"/>
      <dgm:spPr>
        <a:xfrm>
          <a:off x="208433" y="1430832"/>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que conducta  genera responsabilidad politica.</a:t>
          </a:r>
        </a:p>
      </dgm:t>
    </dgm:pt>
    <dgm:pt modelId="{182870A5-06FB-48FE-8562-CDCB3DE65E3F}" type="parTrans" cxnId="{C6211D3A-699D-4E2C-A837-A29CC9ECF570}">
      <dgm:prSet/>
      <dgm:spPr/>
      <dgm:t>
        <a:bodyPr/>
        <a:lstStyle/>
        <a:p>
          <a:endParaRPr lang="es-PE"/>
        </a:p>
      </dgm:t>
    </dgm:pt>
    <dgm:pt modelId="{5A7952A3-B7B2-4A69-8600-66DB94970DB2}" type="sibTrans" cxnId="{C6211D3A-699D-4E2C-A837-A29CC9ECF570}">
      <dgm:prSet/>
      <dgm:spPr>
        <a:xfrm rot="5400000">
          <a:off x="1220520" y="2006332"/>
          <a:ext cx="92609" cy="92609"/>
        </a:xfrm>
        <a:prstGeom prst="rightArrow">
          <a:avLst>
            <a:gd name="adj1" fmla="val 66700"/>
            <a:gd name="adj2" fmla="val 50000"/>
          </a:avLst>
        </a:prstGeom>
        <a:solidFill>
          <a:srgbClr val="44546A">
            <a:tint val="60000"/>
            <a:hueOff val="0"/>
            <a:satOff val="0"/>
            <a:lumOff val="0"/>
            <a:alphaOff val="0"/>
          </a:srgbClr>
        </a:solidFill>
        <a:ln>
          <a:noFill/>
        </a:ln>
        <a:effectLst/>
      </dgm:spPr>
      <dgm:t>
        <a:bodyPr/>
        <a:lstStyle/>
        <a:p>
          <a:endParaRPr lang="es-PE"/>
        </a:p>
      </dgm:t>
    </dgm:pt>
    <dgm:pt modelId="{66E1497C-EF0A-4B8F-834D-335087B0EB26}">
      <dgm:prSet phldrT="[Texto]" custT="1"/>
      <dgm:spPr>
        <a:xfrm>
          <a:off x="208433" y="2859660"/>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los delitos de infracción al deber</a:t>
          </a:r>
        </a:p>
      </dgm:t>
    </dgm:pt>
    <dgm:pt modelId="{B4F19BB3-379F-45C8-8B0D-DE9FD7FEF1BE}" type="parTrans" cxnId="{DC66338B-F18F-41C0-AED6-17AFC904CCB5}">
      <dgm:prSet/>
      <dgm:spPr/>
      <dgm:t>
        <a:bodyPr/>
        <a:lstStyle/>
        <a:p>
          <a:endParaRPr lang="es-PE"/>
        </a:p>
      </dgm:t>
    </dgm:pt>
    <dgm:pt modelId="{4315095D-BC8C-4D16-9B44-AA7A72572443}" type="sibTrans" cxnId="{DC66338B-F18F-41C0-AED6-17AFC904CCB5}">
      <dgm:prSet/>
      <dgm:spPr>
        <a:xfrm rot="5400000">
          <a:off x="1220520" y="3435161"/>
          <a:ext cx="92609" cy="92609"/>
        </a:xfrm>
        <a:prstGeom prst="rightArrow">
          <a:avLst>
            <a:gd name="adj1" fmla="val 66700"/>
            <a:gd name="adj2" fmla="val 50000"/>
          </a:avLst>
        </a:prstGeom>
        <a:solidFill>
          <a:srgbClr val="44546A">
            <a:tint val="60000"/>
            <a:hueOff val="0"/>
            <a:satOff val="0"/>
            <a:lumOff val="0"/>
            <a:alphaOff val="0"/>
          </a:srgbClr>
        </a:solidFill>
        <a:ln>
          <a:noFill/>
        </a:ln>
        <a:effectLst/>
      </dgm:spPr>
      <dgm:t>
        <a:bodyPr/>
        <a:lstStyle/>
        <a:p>
          <a:endParaRPr lang="es-PE"/>
        </a:p>
      </dgm:t>
    </dgm:pt>
    <dgm:pt modelId="{89CF8805-9E2B-4993-9BA6-19E52E8145B2}">
      <dgm:prSet phldrT="[Texto]" custT="1"/>
      <dgm:spPr>
        <a:xfrm>
          <a:off x="208433" y="2145246"/>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las causales de infracciones constitucionales</a:t>
          </a:r>
        </a:p>
      </dgm:t>
    </dgm:pt>
    <dgm:pt modelId="{D5D81052-6B15-4F1D-B2E8-B5E37FFD76F3}" type="parTrans" cxnId="{03E17ECA-C8FA-4B63-8F27-1A4BDD0FD566}">
      <dgm:prSet/>
      <dgm:spPr/>
      <dgm:t>
        <a:bodyPr/>
        <a:lstStyle/>
        <a:p>
          <a:endParaRPr lang="es-PE"/>
        </a:p>
      </dgm:t>
    </dgm:pt>
    <dgm:pt modelId="{487CE3A9-F930-4BCD-BC1F-1AFA1DC62952}" type="sibTrans" cxnId="{03E17ECA-C8FA-4B63-8F27-1A4BDD0FD566}">
      <dgm:prSet/>
      <dgm:spPr>
        <a:xfrm rot="5400000">
          <a:off x="1220520" y="2720746"/>
          <a:ext cx="92609" cy="92609"/>
        </a:xfrm>
        <a:prstGeom prst="rightArrow">
          <a:avLst>
            <a:gd name="adj1" fmla="val 66700"/>
            <a:gd name="adj2" fmla="val 50000"/>
          </a:avLst>
        </a:prstGeom>
        <a:solidFill>
          <a:srgbClr val="44546A">
            <a:tint val="60000"/>
            <a:hueOff val="0"/>
            <a:satOff val="0"/>
            <a:lumOff val="0"/>
            <a:alphaOff val="0"/>
          </a:srgbClr>
        </a:solidFill>
        <a:ln>
          <a:noFill/>
        </a:ln>
        <a:effectLst/>
      </dgm:spPr>
      <dgm:t>
        <a:bodyPr/>
        <a:lstStyle/>
        <a:p>
          <a:endParaRPr lang="es-PE"/>
        </a:p>
      </dgm:t>
    </dgm:pt>
    <dgm:pt modelId="{E8B43231-B24A-423B-8C5D-BD68D3A3E83E}">
      <dgm:prSet phldrT="[Texto]" custT="1"/>
      <dgm:spPr>
        <a:xfrm>
          <a:off x="208433" y="3574074"/>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un plazo de investigación de la infracción constitucional</a:t>
          </a:r>
          <a:r>
            <a:rPr lang="es-PE" sz="1100">
              <a:solidFill>
                <a:sysClr val="windowText" lastClr="000000">
                  <a:hueOff val="0"/>
                  <a:satOff val="0"/>
                  <a:lumOff val="0"/>
                  <a:alphaOff val="0"/>
                </a:sysClr>
              </a:solidFill>
              <a:latin typeface="Calibri" panose="020F0502020204030204"/>
              <a:ea typeface="+mn-ea"/>
              <a:cs typeface="+mn-cs"/>
            </a:rPr>
            <a:t>.</a:t>
          </a:r>
        </a:p>
      </dgm:t>
    </dgm:pt>
    <dgm:pt modelId="{F5046451-C912-4075-9219-E8160FBC2A28}" type="parTrans" cxnId="{4B8507CB-8E56-4207-8DF8-3DEBC875DDF4}">
      <dgm:prSet/>
      <dgm:spPr/>
      <dgm:t>
        <a:bodyPr/>
        <a:lstStyle/>
        <a:p>
          <a:endParaRPr lang="es-PE"/>
        </a:p>
      </dgm:t>
    </dgm:pt>
    <dgm:pt modelId="{A2521603-2AAA-45EC-AF18-9FBD5BDE2587}" type="sibTrans" cxnId="{4B8507CB-8E56-4207-8DF8-3DEBC875DDF4}">
      <dgm:prSet/>
      <dgm:spPr/>
      <dgm:t>
        <a:bodyPr/>
        <a:lstStyle/>
        <a:p>
          <a:endParaRPr lang="es-PE"/>
        </a:p>
      </dgm:t>
    </dgm:pt>
    <dgm:pt modelId="{9718D771-189D-44F5-B7E5-86D04DEA8D24}" type="pres">
      <dgm:prSet presAssocID="{DE694862-CFDC-4E6D-915D-15887D9BDB69}" presName="Name0" presStyleCnt="0">
        <dgm:presLayoutVars>
          <dgm:dir/>
          <dgm:animLvl val="lvl"/>
          <dgm:resizeHandles val="exact"/>
        </dgm:presLayoutVars>
      </dgm:prSet>
      <dgm:spPr/>
    </dgm:pt>
    <dgm:pt modelId="{64AFD972-5028-4425-A87B-E35C36530E34}" type="pres">
      <dgm:prSet presAssocID="{FB24E2B1-E01E-4365-8F97-50414A8F3F4A}" presName="vertFlow" presStyleCnt="0"/>
      <dgm:spPr/>
    </dgm:pt>
    <dgm:pt modelId="{25C77787-B072-4AE2-ADE7-67C879250974}" type="pres">
      <dgm:prSet presAssocID="{FB24E2B1-E01E-4365-8F97-50414A8F3F4A}" presName="header" presStyleLbl="node1" presStyleIdx="0" presStyleCnt="1"/>
      <dgm:spPr/>
    </dgm:pt>
    <dgm:pt modelId="{84045E43-5A67-4CAB-8EEC-08AF2A746F74}" type="pres">
      <dgm:prSet presAssocID="{1E3F9722-6681-499C-8D9E-81368B04A986}" presName="parTrans" presStyleLbl="sibTrans2D1" presStyleIdx="0" presStyleCnt="5"/>
      <dgm:spPr/>
    </dgm:pt>
    <dgm:pt modelId="{76B2610B-9836-479F-989F-71F7B818806D}" type="pres">
      <dgm:prSet presAssocID="{E3603EF3-3D15-4E1F-8C20-7941FDAB860F}" presName="child" presStyleLbl="alignAccFollowNode1" presStyleIdx="0" presStyleCnt="5">
        <dgm:presLayoutVars>
          <dgm:chMax val="0"/>
          <dgm:bulletEnabled val="1"/>
        </dgm:presLayoutVars>
      </dgm:prSet>
      <dgm:spPr/>
    </dgm:pt>
    <dgm:pt modelId="{4B0AA7A4-6B24-4D58-99C2-BF604090C54F}" type="pres">
      <dgm:prSet presAssocID="{6A820DCF-B380-4D6D-B4F1-1878F6FD91B3}" presName="sibTrans" presStyleLbl="sibTrans2D1" presStyleIdx="1" presStyleCnt="5"/>
      <dgm:spPr/>
    </dgm:pt>
    <dgm:pt modelId="{E086A579-6C43-4FDF-8D1E-8EE1F828A509}" type="pres">
      <dgm:prSet presAssocID="{42690386-C3DA-47D8-BE33-4A382421C586}" presName="child" presStyleLbl="alignAccFollowNode1" presStyleIdx="1" presStyleCnt="5">
        <dgm:presLayoutVars>
          <dgm:chMax val="0"/>
          <dgm:bulletEnabled val="1"/>
        </dgm:presLayoutVars>
      </dgm:prSet>
      <dgm:spPr/>
    </dgm:pt>
    <dgm:pt modelId="{962D1F48-F451-4381-974F-DAB52975B805}" type="pres">
      <dgm:prSet presAssocID="{5A7952A3-B7B2-4A69-8600-66DB94970DB2}" presName="sibTrans" presStyleLbl="sibTrans2D1" presStyleIdx="2" presStyleCnt="5"/>
      <dgm:spPr/>
    </dgm:pt>
    <dgm:pt modelId="{8F9DAAF6-7295-404C-9879-D00ED9AD8F82}" type="pres">
      <dgm:prSet presAssocID="{89CF8805-9E2B-4993-9BA6-19E52E8145B2}" presName="child" presStyleLbl="alignAccFollowNode1" presStyleIdx="2" presStyleCnt="5">
        <dgm:presLayoutVars>
          <dgm:chMax val="0"/>
          <dgm:bulletEnabled val="1"/>
        </dgm:presLayoutVars>
      </dgm:prSet>
      <dgm:spPr/>
    </dgm:pt>
    <dgm:pt modelId="{1633DEA2-77DE-40C0-91F9-D31B762A17A3}" type="pres">
      <dgm:prSet presAssocID="{487CE3A9-F930-4BCD-BC1F-1AFA1DC62952}" presName="sibTrans" presStyleLbl="sibTrans2D1" presStyleIdx="3" presStyleCnt="5"/>
      <dgm:spPr/>
    </dgm:pt>
    <dgm:pt modelId="{60458B57-D5A0-4B1C-9B41-FC4D9D410CF6}" type="pres">
      <dgm:prSet presAssocID="{66E1497C-EF0A-4B8F-834D-335087B0EB26}" presName="child" presStyleLbl="alignAccFollowNode1" presStyleIdx="3" presStyleCnt="5">
        <dgm:presLayoutVars>
          <dgm:chMax val="0"/>
          <dgm:bulletEnabled val="1"/>
        </dgm:presLayoutVars>
      </dgm:prSet>
      <dgm:spPr/>
    </dgm:pt>
    <dgm:pt modelId="{1850275E-CB1C-429B-8DDD-B630B3250A16}" type="pres">
      <dgm:prSet presAssocID="{4315095D-BC8C-4D16-9B44-AA7A72572443}" presName="sibTrans" presStyleLbl="sibTrans2D1" presStyleIdx="4" presStyleCnt="5"/>
      <dgm:spPr/>
    </dgm:pt>
    <dgm:pt modelId="{422E1B25-B787-4183-9E34-2B9746FD2C74}" type="pres">
      <dgm:prSet presAssocID="{E8B43231-B24A-423B-8C5D-BD68D3A3E83E}" presName="child" presStyleLbl="alignAccFollowNode1" presStyleIdx="4" presStyleCnt="5">
        <dgm:presLayoutVars>
          <dgm:chMax val="0"/>
          <dgm:bulletEnabled val="1"/>
        </dgm:presLayoutVars>
      </dgm:prSet>
      <dgm:spPr/>
    </dgm:pt>
  </dgm:ptLst>
  <dgm:cxnLst>
    <dgm:cxn modelId="{462ABA2B-C16C-4D73-B9FC-963F155550C6}" type="presOf" srcId="{4315095D-BC8C-4D16-9B44-AA7A72572443}" destId="{1850275E-CB1C-429B-8DDD-B630B3250A16}" srcOrd="0" destOrd="0" presId="urn:microsoft.com/office/officeart/2005/8/layout/lProcess1"/>
    <dgm:cxn modelId="{C6211D3A-699D-4E2C-A837-A29CC9ECF570}" srcId="{FB24E2B1-E01E-4365-8F97-50414A8F3F4A}" destId="{42690386-C3DA-47D8-BE33-4A382421C586}" srcOrd="1" destOrd="0" parTransId="{182870A5-06FB-48FE-8562-CDCB3DE65E3F}" sibTransId="{5A7952A3-B7B2-4A69-8600-66DB94970DB2}"/>
    <dgm:cxn modelId="{946AE93A-11DC-4777-B583-D2236E276A6F}" type="presOf" srcId="{66E1497C-EF0A-4B8F-834D-335087B0EB26}" destId="{60458B57-D5A0-4B1C-9B41-FC4D9D410CF6}" srcOrd="0" destOrd="0" presId="urn:microsoft.com/office/officeart/2005/8/layout/lProcess1"/>
    <dgm:cxn modelId="{F399DF3D-E9D0-4232-90BF-B03BC0ED24B1}" type="presOf" srcId="{89CF8805-9E2B-4993-9BA6-19E52E8145B2}" destId="{8F9DAAF6-7295-404C-9879-D00ED9AD8F82}" srcOrd="0" destOrd="0" presId="urn:microsoft.com/office/officeart/2005/8/layout/lProcess1"/>
    <dgm:cxn modelId="{1DAF9463-BEAE-4EA6-A2D2-37D6BE25854F}" type="presOf" srcId="{E8B43231-B24A-423B-8C5D-BD68D3A3E83E}" destId="{422E1B25-B787-4183-9E34-2B9746FD2C74}" srcOrd="0" destOrd="0" presId="urn:microsoft.com/office/officeart/2005/8/layout/lProcess1"/>
    <dgm:cxn modelId="{F97E0368-A5CF-4723-B045-B0FAD1038D65}" type="presOf" srcId="{5A7952A3-B7B2-4A69-8600-66DB94970DB2}" destId="{962D1F48-F451-4381-974F-DAB52975B805}" srcOrd="0" destOrd="0" presId="urn:microsoft.com/office/officeart/2005/8/layout/lProcess1"/>
    <dgm:cxn modelId="{63867557-C67F-4F48-A290-926214EE4245}" type="presOf" srcId="{E3603EF3-3D15-4E1F-8C20-7941FDAB860F}" destId="{76B2610B-9836-479F-989F-71F7B818806D}" srcOrd="0" destOrd="0" presId="urn:microsoft.com/office/officeart/2005/8/layout/lProcess1"/>
    <dgm:cxn modelId="{35EB705A-0980-4A02-94C5-D8B0D39920AB}" srcId="{DE694862-CFDC-4E6D-915D-15887D9BDB69}" destId="{FB24E2B1-E01E-4365-8F97-50414A8F3F4A}" srcOrd="0" destOrd="0" parTransId="{87875CAB-46E3-499A-B40A-EB1A43171C66}" sibTransId="{C76BDAAD-E9FE-45FF-84F5-D034B0E314A9}"/>
    <dgm:cxn modelId="{1002E45A-3402-4694-BD5D-C75675EEF141}" type="presOf" srcId="{1E3F9722-6681-499C-8D9E-81368B04A986}" destId="{84045E43-5A67-4CAB-8EEC-08AF2A746F74}" srcOrd="0" destOrd="0" presId="urn:microsoft.com/office/officeart/2005/8/layout/lProcess1"/>
    <dgm:cxn modelId="{DC66338B-F18F-41C0-AED6-17AFC904CCB5}" srcId="{FB24E2B1-E01E-4365-8F97-50414A8F3F4A}" destId="{66E1497C-EF0A-4B8F-834D-335087B0EB26}" srcOrd="3" destOrd="0" parTransId="{B4F19BB3-379F-45C8-8B0D-DE9FD7FEF1BE}" sibTransId="{4315095D-BC8C-4D16-9B44-AA7A72572443}"/>
    <dgm:cxn modelId="{C6A4149B-5450-4458-AB5A-01B70CD5D40E}" type="presOf" srcId="{42690386-C3DA-47D8-BE33-4A382421C586}" destId="{E086A579-6C43-4FDF-8D1E-8EE1F828A509}" srcOrd="0" destOrd="0" presId="urn:microsoft.com/office/officeart/2005/8/layout/lProcess1"/>
    <dgm:cxn modelId="{BF0B46B5-C2D5-4B5D-AD52-1570C14A207E}" type="presOf" srcId="{FB24E2B1-E01E-4365-8F97-50414A8F3F4A}" destId="{25C77787-B072-4AE2-ADE7-67C879250974}" srcOrd="0" destOrd="0" presId="urn:microsoft.com/office/officeart/2005/8/layout/lProcess1"/>
    <dgm:cxn modelId="{03E17ECA-C8FA-4B63-8F27-1A4BDD0FD566}" srcId="{FB24E2B1-E01E-4365-8F97-50414A8F3F4A}" destId="{89CF8805-9E2B-4993-9BA6-19E52E8145B2}" srcOrd="2" destOrd="0" parTransId="{D5D81052-6B15-4F1D-B2E8-B5E37FFD76F3}" sibTransId="{487CE3A9-F930-4BCD-BC1F-1AFA1DC62952}"/>
    <dgm:cxn modelId="{4B8507CB-8E56-4207-8DF8-3DEBC875DDF4}" srcId="{FB24E2B1-E01E-4365-8F97-50414A8F3F4A}" destId="{E8B43231-B24A-423B-8C5D-BD68D3A3E83E}" srcOrd="4" destOrd="0" parTransId="{F5046451-C912-4075-9219-E8160FBC2A28}" sibTransId="{A2521603-2AAA-45EC-AF18-9FBD5BDE2587}"/>
    <dgm:cxn modelId="{3A4E9BCB-785C-4C97-ADDD-A156059D4E22}" srcId="{FB24E2B1-E01E-4365-8F97-50414A8F3F4A}" destId="{E3603EF3-3D15-4E1F-8C20-7941FDAB860F}" srcOrd="0" destOrd="0" parTransId="{1E3F9722-6681-499C-8D9E-81368B04A986}" sibTransId="{6A820DCF-B380-4D6D-B4F1-1878F6FD91B3}"/>
    <dgm:cxn modelId="{27B300D0-3D85-49F7-A4F2-B384462663F3}" type="presOf" srcId="{487CE3A9-F930-4BCD-BC1F-1AFA1DC62952}" destId="{1633DEA2-77DE-40C0-91F9-D31B762A17A3}" srcOrd="0" destOrd="0" presId="urn:microsoft.com/office/officeart/2005/8/layout/lProcess1"/>
    <dgm:cxn modelId="{F645E9D7-8ED5-4811-89A3-D0D5B31027E3}" type="presOf" srcId="{DE694862-CFDC-4E6D-915D-15887D9BDB69}" destId="{9718D771-189D-44F5-B7E5-86D04DEA8D24}" srcOrd="0" destOrd="0" presId="urn:microsoft.com/office/officeart/2005/8/layout/lProcess1"/>
    <dgm:cxn modelId="{59AE02FC-281F-4148-9CC0-EC804250E9B4}" type="presOf" srcId="{6A820DCF-B380-4D6D-B4F1-1878F6FD91B3}" destId="{4B0AA7A4-6B24-4D58-99C2-BF604090C54F}" srcOrd="0" destOrd="0" presId="urn:microsoft.com/office/officeart/2005/8/layout/lProcess1"/>
    <dgm:cxn modelId="{33E457D7-B130-4E3E-ACBA-1C67546C7094}" type="presParOf" srcId="{9718D771-189D-44F5-B7E5-86D04DEA8D24}" destId="{64AFD972-5028-4425-A87B-E35C36530E34}" srcOrd="0" destOrd="0" presId="urn:microsoft.com/office/officeart/2005/8/layout/lProcess1"/>
    <dgm:cxn modelId="{36B02983-DB1E-4061-98DC-5A850AC55A3C}" type="presParOf" srcId="{64AFD972-5028-4425-A87B-E35C36530E34}" destId="{25C77787-B072-4AE2-ADE7-67C879250974}" srcOrd="0" destOrd="0" presId="urn:microsoft.com/office/officeart/2005/8/layout/lProcess1"/>
    <dgm:cxn modelId="{7E8F2568-696F-4312-9EB6-02A2AD10AB1D}" type="presParOf" srcId="{64AFD972-5028-4425-A87B-E35C36530E34}" destId="{84045E43-5A67-4CAB-8EEC-08AF2A746F74}" srcOrd="1" destOrd="0" presId="urn:microsoft.com/office/officeart/2005/8/layout/lProcess1"/>
    <dgm:cxn modelId="{DA1716B5-EA6B-4BC5-83BB-BBD76B422331}" type="presParOf" srcId="{64AFD972-5028-4425-A87B-E35C36530E34}" destId="{76B2610B-9836-479F-989F-71F7B818806D}" srcOrd="2" destOrd="0" presId="urn:microsoft.com/office/officeart/2005/8/layout/lProcess1"/>
    <dgm:cxn modelId="{395E77E6-71CC-4C89-9EE4-C8BD056DCCDE}" type="presParOf" srcId="{64AFD972-5028-4425-A87B-E35C36530E34}" destId="{4B0AA7A4-6B24-4D58-99C2-BF604090C54F}" srcOrd="3" destOrd="0" presId="urn:microsoft.com/office/officeart/2005/8/layout/lProcess1"/>
    <dgm:cxn modelId="{33FAB76B-3EF6-4454-BAEC-29BEDB92F3B0}" type="presParOf" srcId="{64AFD972-5028-4425-A87B-E35C36530E34}" destId="{E086A579-6C43-4FDF-8D1E-8EE1F828A509}" srcOrd="4" destOrd="0" presId="urn:microsoft.com/office/officeart/2005/8/layout/lProcess1"/>
    <dgm:cxn modelId="{6C0D1084-BFF9-488A-B82B-0950982FDCFB}" type="presParOf" srcId="{64AFD972-5028-4425-A87B-E35C36530E34}" destId="{962D1F48-F451-4381-974F-DAB52975B805}" srcOrd="5" destOrd="0" presId="urn:microsoft.com/office/officeart/2005/8/layout/lProcess1"/>
    <dgm:cxn modelId="{E01ED139-734E-41DC-9EE9-5E616E0BF15E}" type="presParOf" srcId="{64AFD972-5028-4425-A87B-E35C36530E34}" destId="{8F9DAAF6-7295-404C-9879-D00ED9AD8F82}" srcOrd="6" destOrd="0" presId="urn:microsoft.com/office/officeart/2005/8/layout/lProcess1"/>
    <dgm:cxn modelId="{73F6559C-F76A-42C2-B19F-FAFC20CE28C4}" type="presParOf" srcId="{64AFD972-5028-4425-A87B-E35C36530E34}" destId="{1633DEA2-77DE-40C0-91F9-D31B762A17A3}" srcOrd="7" destOrd="0" presId="urn:microsoft.com/office/officeart/2005/8/layout/lProcess1"/>
    <dgm:cxn modelId="{7ED7FD56-83A6-47AD-9DCC-9ADE82BD77C8}" type="presParOf" srcId="{64AFD972-5028-4425-A87B-E35C36530E34}" destId="{60458B57-D5A0-4B1C-9B41-FC4D9D410CF6}" srcOrd="8" destOrd="0" presId="urn:microsoft.com/office/officeart/2005/8/layout/lProcess1"/>
    <dgm:cxn modelId="{D473772F-9AA5-41EC-AED4-9B3BA4FBB033}" type="presParOf" srcId="{64AFD972-5028-4425-A87B-E35C36530E34}" destId="{1850275E-CB1C-429B-8DDD-B630B3250A16}" srcOrd="9" destOrd="0" presId="urn:microsoft.com/office/officeart/2005/8/layout/lProcess1"/>
    <dgm:cxn modelId="{4D652671-E88F-4B7D-8C62-F7D6BDB08030}" type="presParOf" srcId="{64AFD972-5028-4425-A87B-E35C36530E34}" destId="{422E1B25-B787-4183-9E34-2B9746FD2C74}" srcOrd="10" destOrd="0" presId="urn:microsoft.com/office/officeart/2005/8/layout/l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E3B9C4E-46E9-4AAA-86F2-5D44C2832AE4}" type="doc">
      <dgm:prSet loTypeId="urn:microsoft.com/office/officeart/2005/8/layout/vProcess5" loCatId="process" qsTypeId="urn:microsoft.com/office/officeart/2005/8/quickstyle/simple1" qsCatId="simple" csTypeId="urn:microsoft.com/office/officeart/2005/8/colors/accent0_1" csCatId="mainScheme" phldr="1"/>
      <dgm:spPr/>
    </dgm:pt>
    <dgm:pt modelId="{88AC0539-3FAB-4F5A-91D0-0DE8891FBD57}">
      <dgm:prSet phldrT="[Texto]" custT="1"/>
      <dgm:spPr>
        <a:xfrm>
          <a:off x="0" y="0"/>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a un tribunal independinete imparcial</a:t>
          </a:r>
        </a:p>
      </dgm:t>
    </dgm:pt>
    <dgm:pt modelId="{2B4E7F35-EE78-470A-949C-AF0C3CBD8704}" type="parTrans" cxnId="{772914D0-0A59-4635-B46C-88196091D7FB}">
      <dgm:prSet/>
      <dgm:spPr/>
      <dgm:t>
        <a:bodyPr/>
        <a:lstStyle/>
        <a:p>
          <a:endParaRPr lang="es-PE"/>
        </a:p>
      </dgm:t>
    </dgm:pt>
    <dgm:pt modelId="{3117FE85-EEC7-482A-8121-346187E7A856}" type="sibTrans" cxnId="{772914D0-0A59-4635-B46C-88196091D7FB}">
      <dgm:prSet/>
      <dgm:spPr>
        <a:xfrm>
          <a:off x="1423225" y="288083"/>
          <a:ext cx="256317" cy="256317"/>
        </a:xfrm>
        <a:prstGeom prst="downArrow">
          <a:avLst>
            <a:gd name="adj1" fmla="val 55000"/>
            <a:gd name="adj2" fmla="val 45000"/>
          </a:avLst>
        </a:prstGeom>
        <a:solidFill>
          <a:sysClr val="windowText" lastClr="000000">
            <a:lumMod val="50000"/>
            <a:lumOff val="50000"/>
            <a:alpha val="9000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s-PE">
            <a:solidFill>
              <a:sysClr val="windowText" lastClr="000000">
                <a:hueOff val="0"/>
                <a:satOff val="0"/>
                <a:lumOff val="0"/>
                <a:alphaOff val="0"/>
              </a:sysClr>
            </a:solidFill>
            <a:latin typeface="Calibri" panose="020F0502020204030204"/>
            <a:ea typeface="+mn-ea"/>
            <a:cs typeface="+mn-cs"/>
          </a:endParaRPr>
        </a:p>
      </dgm:t>
    </dgm:pt>
    <dgm:pt modelId="{6B9A44CF-DDDF-483B-BA8D-AA63D433E7CC}">
      <dgm:prSet phldrT="[Texto]" custT="1"/>
      <dgm:spPr>
        <a:xfrm>
          <a:off x="125420" y="449103"/>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de defensa</a:t>
          </a:r>
        </a:p>
      </dgm:t>
    </dgm:pt>
    <dgm:pt modelId="{DD29719B-FDDD-4F5D-8C87-3F2FA17D1ADA}" type="parTrans" cxnId="{2BA470E2-0051-43C9-9A9E-52C78E0452DA}">
      <dgm:prSet/>
      <dgm:spPr/>
      <dgm:t>
        <a:bodyPr/>
        <a:lstStyle/>
        <a:p>
          <a:endParaRPr lang="es-PE"/>
        </a:p>
      </dgm:t>
    </dgm:pt>
    <dgm:pt modelId="{714CA8F3-43D1-4D2B-BDE2-1F0DC52117D1}" type="sibTrans" cxnId="{2BA470E2-0051-43C9-9A9E-52C78E0452DA}">
      <dgm:prSet/>
      <dgm:spPr>
        <a:xfrm>
          <a:off x="1548645" y="737187"/>
          <a:ext cx="256317" cy="256317"/>
        </a:xfrm>
        <a:prstGeom prst="downArrow">
          <a:avLst>
            <a:gd name="adj1" fmla="val 55000"/>
            <a:gd name="adj2" fmla="val 45000"/>
          </a:avLst>
        </a:prstGeom>
        <a:solidFill>
          <a:sysClr val="windowText" lastClr="000000">
            <a:lumMod val="50000"/>
            <a:lumOff val="50000"/>
            <a:alpha val="9000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s-PE">
            <a:solidFill>
              <a:sysClr val="windowText" lastClr="000000">
                <a:hueOff val="0"/>
                <a:satOff val="0"/>
                <a:lumOff val="0"/>
                <a:alphaOff val="0"/>
              </a:sysClr>
            </a:solidFill>
            <a:latin typeface="Calibri" panose="020F0502020204030204"/>
            <a:ea typeface="+mn-ea"/>
            <a:cs typeface="+mn-cs"/>
          </a:endParaRPr>
        </a:p>
      </dgm:t>
    </dgm:pt>
    <dgm:pt modelId="{FB4FAB3B-067F-49BB-B571-63E7265EA4D0}">
      <dgm:prSet phldrT="[Texto]" custT="1"/>
      <dgm:spPr>
        <a:xfrm>
          <a:off x="250840" y="898207"/>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a un debido procedimiento</a:t>
          </a:r>
        </a:p>
      </dgm:t>
    </dgm:pt>
    <dgm:pt modelId="{97EFA934-1BCF-484B-8E9A-906C60CC658A}" type="parTrans" cxnId="{0F15D805-A5BC-45C4-9CC5-A057CC93CA4D}">
      <dgm:prSet/>
      <dgm:spPr/>
      <dgm:t>
        <a:bodyPr/>
        <a:lstStyle/>
        <a:p>
          <a:endParaRPr lang="es-PE"/>
        </a:p>
      </dgm:t>
    </dgm:pt>
    <dgm:pt modelId="{BE77BBA3-F199-4691-B9B1-6637C8FE21C6}" type="sibTrans" cxnId="{0F15D805-A5BC-45C4-9CC5-A057CC93CA4D}">
      <dgm:prSet/>
      <dgm:spPr>
        <a:xfrm>
          <a:off x="1674066" y="1179718"/>
          <a:ext cx="256317" cy="256317"/>
        </a:xfrm>
        <a:prstGeom prst="downArrow">
          <a:avLst>
            <a:gd name="adj1" fmla="val 55000"/>
            <a:gd name="adj2" fmla="val 45000"/>
          </a:avLst>
        </a:prstGeom>
        <a:solidFill>
          <a:sysClr val="windowText" lastClr="000000">
            <a:lumMod val="50000"/>
            <a:lumOff val="50000"/>
            <a:alpha val="9000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s-PE">
            <a:solidFill>
              <a:sysClr val="windowText" lastClr="000000">
                <a:hueOff val="0"/>
                <a:satOff val="0"/>
                <a:lumOff val="0"/>
                <a:alphaOff val="0"/>
              </a:sysClr>
            </a:solidFill>
            <a:latin typeface="Calibri" panose="020F0502020204030204"/>
            <a:ea typeface="+mn-ea"/>
            <a:cs typeface="+mn-cs"/>
          </a:endParaRPr>
        </a:p>
      </dgm:t>
    </dgm:pt>
    <dgm:pt modelId="{A9489F19-CF5E-4A6C-B89D-5804ADBA060D}">
      <dgm:prSet phldrT="[Texto]" custT="1"/>
      <dgm:spPr>
        <a:xfrm>
          <a:off x="376261" y="1347311"/>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a una sentencia motivada</a:t>
          </a:r>
        </a:p>
      </dgm:t>
    </dgm:pt>
    <dgm:pt modelId="{C79E3761-CABB-4CB4-BE23-4B9B4E87918C}" type="parTrans" cxnId="{876D16C3-AC19-426E-9EC9-A990BD18A1B8}">
      <dgm:prSet/>
      <dgm:spPr/>
      <dgm:t>
        <a:bodyPr/>
        <a:lstStyle/>
        <a:p>
          <a:endParaRPr lang="es-PE"/>
        </a:p>
      </dgm:t>
    </dgm:pt>
    <dgm:pt modelId="{97F208A6-44E4-4B7C-BABA-73E27CFE4BF4}" type="sibTrans" cxnId="{876D16C3-AC19-426E-9EC9-A990BD18A1B8}">
      <dgm:prSet/>
      <dgm:spPr>
        <a:xfrm>
          <a:off x="1799486" y="1633204"/>
          <a:ext cx="256317" cy="256317"/>
        </a:xfrm>
        <a:prstGeom prst="downArrow">
          <a:avLst>
            <a:gd name="adj1" fmla="val 55000"/>
            <a:gd name="adj2" fmla="val 45000"/>
          </a:avLst>
        </a:prstGeom>
        <a:solidFill>
          <a:sysClr val="windowText" lastClr="000000">
            <a:lumMod val="50000"/>
            <a:lumOff val="50000"/>
            <a:alpha val="90000"/>
          </a:sysClr>
        </a:solidFill>
        <a:ln w="12700" cap="flat" cmpd="sng" algn="ctr">
          <a:solidFill>
            <a:sysClr val="windowText" lastClr="000000">
              <a:alpha val="90000"/>
              <a:hueOff val="0"/>
              <a:satOff val="0"/>
              <a:lumOff val="0"/>
              <a:alphaOff val="0"/>
            </a:sysClr>
          </a:solidFill>
          <a:prstDash val="solid"/>
          <a:miter lim="800000"/>
        </a:ln>
        <a:effectLst/>
      </dgm:spPr>
      <dgm:t>
        <a:bodyPr/>
        <a:lstStyle/>
        <a:p>
          <a:endParaRPr lang="es-PE">
            <a:solidFill>
              <a:sysClr val="windowText" lastClr="000000">
                <a:hueOff val="0"/>
                <a:satOff val="0"/>
                <a:lumOff val="0"/>
                <a:alphaOff val="0"/>
              </a:sysClr>
            </a:solidFill>
            <a:latin typeface="Calibri" panose="020F0502020204030204"/>
            <a:ea typeface="+mn-ea"/>
            <a:cs typeface="+mn-cs"/>
          </a:endParaRPr>
        </a:p>
      </dgm:t>
    </dgm:pt>
    <dgm:pt modelId="{BD13A961-1D1C-45E6-B761-26B4534D3B10}">
      <dgm:prSet phldrT="[Texto]" custT="1"/>
      <dgm:spPr>
        <a:xfrm>
          <a:off x="501681" y="1796415"/>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s-PE"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a una racionabilidad y proporcionalidad </a:t>
          </a:r>
        </a:p>
      </dgm:t>
    </dgm:pt>
    <dgm:pt modelId="{2EFC8268-ECF1-4FE7-8418-FED5ABF8F7C6}" type="parTrans" cxnId="{0869FA62-2F9E-4217-976A-26C77D79F670}">
      <dgm:prSet/>
      <dgm:spPr/>
      <dgm:t>
        <a:bodyPr/>
        <a:lstStyle/>
        <a:p>
          <a:endParaRPr lang="es-PE"/>
        </a:p>
      </dgm:t>
    </dgm:pt>
    <dgm:pt modelId="{CDD4DC21-C6B7-4581-BFC3-ACD0DBED3635}" type="sibTrans" cxnId="{0869FA62-2F9E-4217-976A-26C77D79F670}">
      <dgm:prSet/>
      <dgm:spPr/>
      <dgm:t>
        <a:bodyPr/>
        <a:lstStyle/>
        <a:p>
          <a:endParaRPr lang="es-PE"/>
        </a:p>
      </dgm:t>
    </dgm:pt>
    <dgm:pt modelId="{7AD28349-9C9D-42E5-A9CB-D8FFBAC0A258}" type="pres">
      <dgm:prSet presAssocID="{8E3B9C4E-46E9-4AAA-86F2-5D44C2832AE4}" presName="outerComposite" presStyleCnt="0">
        <dgm:presLayoutVars>
          <dgm:chMax val="5"/>
          <dgm:dir/>
          <dgm:resizeHandles val="exact"/>
        </dgm:presLayoutVars>
      </dgm:prSet>
      <dgm:spPr/>
    </dgm:pt>
    <dgm:pt modelId="{4D275985-6597-4C12-9DFD-E90015DF5E72}" type="pres">
      <dgm:prSet presAssocID="{8E3B9C4E-46E9-4AAA-86F2-5D44C2832AE4}" presName="dummyMaxCanvas" presStyleCnt="0">
        <dgm:presLayoutVars/>
      </dgm:prSet>
      <dgm:spPr/>
    </dgm:pt>
    <dgm:pt modelId="{9DF21131-9C3E-48F8-95D8-F1A92A42048A}" type="pres">
      <dgm:prSet presAssocID="{8E3B9C4E-46E9-4AAA-86F2-5D44C2832AE4}" presName="FiveNodes_1" presStyleLbl="node1" presStyleIdx="0" presStyleCnt="5">
        <dgm:presLayoutVars>
          <dgm:bulletEnabled val="1"/>
        </dgm:presLayoutVars>
      </dgm:prSet>
      <dgm:spPr/>
    </dgm:pt>
    <dgm:pt modelId="{E55E16B3-D2BE-4600-8A0F-EEBC9DA9A78F}" type="pres">
      <dgm:prSet presAssocID="{8E3B9C4E-46E9-4AAA-86F2-5D44C2832AE4}" presName="FiveNodes_2" presStyleLbl="node1" presStyleIdx="1" presStyleCnt="5">
        <dgm:presLayoutVars>
          <dgm:bulletEnabled val="1"/>
        </dgm:presLayoutVars>
      </dgm:prSet>
      <dgm:spPr/>
    </dgm:pt>
    <dgm:pt modelId="{399F7F3B-081C-4DA5-86C9-91A4154CB08E}" type="pres">
      <dgm:prSet presAssocID="{8E3B9C4E-46E9-4AAA-86F2-5D44C2832AE4}" presName="FiveNodes_3" presStyleLbl="node1" presStyleIdx="2" presStyleCnt="5">
        <dgm:presLayoutVars>
          <dgm:bulletEnabled val="1"/>
        </dgm:presLayoutVars>
      </dgm:prSet>
      <dgm:spPr/>
    </dgm:pt>
    <dgm:pt modelId="{36163C14-21D9-472C-A182-0073D7A7A77F}" type="pres">
      <dgm:prSet presAssocID="{8E3B9C4E-46E9-4AAA-86F2-5D44C2832AE4}" presName="FiveNodes_4" presStyleLbl="node1" presStyleIdx="3" presStyleCnt="5">
        <dgm:presLayoutVars>
          <dgm:bulletEnabled val="1"/>
        </dgm:presLayoutVars>
      </dgm:prSet>
      <dgm:spPr/>
    </dgm:pt>
    <dgm:pt modelId="{9E22C947-A196-402A-A2E1-015719BFEB40}" type="pres">
      <dgm:prSet presAssocID="{8E3B9C4E-46E9-4AAA-86F2-5D44C2832AE4}" presName="FiveNodes_5" presStyleLbl="node1" presStyleIdx="4" presStyleCnt="5">
        <dgm:presLayoutVars>
          <dgm:bulletEnabled val="1"/>
        </dgm:presLayoutVars>
      </dgm:prSet>
      <dgm:spPr/>
    </dgm:pt>
    <dgm:pt modelId="{D1861F24-AEFA-4EC0-918E-BA4E3C754DED}" type="pres">
      <dgm:prSet presAssocID="{8E3B9C4E-46E9-4AAA-86F2-5D44C2832AE4}" presName="FiveConn_1-2" presStyleLbl="fgAccFollowNode1" presStyleIdx="0" presStyleCnt="4">
        <dgm:presLayoutVars>
          <dgm:bulletEnabled val="1"/>
        </dgm:presLayoutVars>
      </dgm:prSet>
      <dgm:spPr/>
    </dgm:pt>
    <dgm:pt modelId="{6B3DD16A-C5C4-48D4-A1B5-CAD29FEFB83B}" type="pres">
      <dgm:prSet presAssocID="{8E3B9C4E-46E9-4AAA-86F2-5D44C2832AE4}" presName="FiveConn_2-3" presStyleLbl="fgAccFollowNode1" presStyleIdx="1" presStyleCnt="4">
        <dgm:presLayoutVars>
          <dgm:bulletEnabled val="1"/>
        </dgm:presLayoutVars>
      </dgm:prSet>
      <dgm:spPr/>
    </dgm:pt>
    <dgm:pt modelId="{CCF58B9C-B01E-4281-8C4E-069EF769DCD4}" type="pres">
      <dgm:prSet presAssocID="{8E3B9C4E-46E9-4AAA-86F2-5D44C2832AE4}" presName="FiveConn_3-4" presStyleLbl="fgAccFollowNode1" presStyleIdx="2" presStyleCnt="4">
        <dgm:presLayoutVars>
          <dgm:bulletEnabled val="1"/>
        </dgm:presLayoutVars>
      </dgm:prSet>
      <dgm:spPr/>
    </dgm:pt>
    <dgm:pt modelId="{07E00839-83F3-46DB-9662-C97814322BE0}" type="pres">
      <dgm:prSet presAssocID="{8E3B9C4E-46E9-4AAA-86F2-5D44C2832AE4}" presName="FiveConn_4-5" presStyleLbl="fgAccFollowNode1" presStyleIdx="3" presStyleCnt="4">
        <dgm:presLayoutVars>
          <dgm:bulletEnabled val="1"/>
        </dgm:presLayoutVars>
      </dgm:prSet>
      <dgm:spPr/>
    </dgm:pt>
    <dgm:pt modelId="{25F8EFEF-4C53-4BC3-9429-A300C293FB36}" type="pres">
      <dgm:prSet presAssocID="{8E3B9C4E-46E9-4AAA-86F2-5D44C2832AE4}" presName="FiveNodes_1_text" presStyleLbl="node1" presStyleIdx="4" presStyleCnt="5">
        <dgm:presLayoutVars>
          <dgm:bulletEnabled val="1"/>
        </dgm:presLayoutVars>
      </dgm:prSet>
      <dgm:spPr/>
    </dgm:pt>
    <dgm:pt modelId="{699A44E8-828B-48C0-8847-E476057272FF}" type="pres">
      <dgm:prSet presAssocID="{8E3B9C4E-46E9-4AAA-86F2-5D44C2832AE4}" presName="FiveNodes_2_text" presStyleLbl="node1" presStyleIdx="4" presStyleCnt="5">
        <dgm:presLayoutVars>
          <dgm:bulletEnabled val="1"/>
        </dgm:presLayoutVars>
      </dgm:prSet>
      <dgm:spPr/>
    </dgm:pt>
    <dgm:pt modelId="{FCC874E0-0206-451D-9802-13DF35695E60}" type="pres">
      <dgm:prSet presAssocID="{8E3B9C4E-46E9-4AAA-86F2-5D44C2832AE4}" presName="FiveNodes_3_text" presStyleLbl="node1" presStyleIdx="4" presStyleCnt="5">
        <dgm:presLayoutVars>
          <dgm:bulletEnabled val="1"/>
        </dgm:presLayoutVars>
      </dgm:prSet>
      <dgm:spPr/>
    </dgm:pt>
    <dgm:pt modelId="{61B5B8D5-6A29-4F45-AC98-6C57C1655852}" type="pres">
      <dgm:prSet presAssocID="{8E3B9C4E-46E9-4AAA-86F2-5D44C2832AE4}" presName="FiveNodes_4_text" presStyleLbl="node1" presStyleIdx="4" presStyleCnt="5">
        <dgm:presLayoutVars>
          <dgm:bulletEnabled val="1"/>
        </dgm:presLayoutVars>
      </dgm:prSet>
      <dgm:spPr/>
    </dgm:pt>
    <dgm:pt modelId="{306347F3-0203-4341-9A06-FE8410B30184}" type="pres">
      <dgm:prSet presAssocID="{8E3B9C4E-46E9-4AAA-86F2-5D44C2832AE4}" presName="FiveNodes_5_text" presStyleLbl="node1" presStyleIdx="4" presStyleCnt="5">
        <dgm:presLayoutVars>
          <dgm:bulletEnabled val="1"/>
        </dgm:presLayoutVars>
      </dgm:prSet>
      <dgm:spPr/>
    </dgm:pt>
  </dgm:ptLst>
  <dgm:cxnLst>
    <dgm:cxn modelId="{52587504-A4B9-45F3-A930-9E02128C10C1}" type="presOf" srcId="{BE77BBA3-F199-4691-B9B1-6637C8FE21C6}" destId="{CCF58B9C-B01E-4281-8C4E-069EF769DCD4}" srcOrd="0" destOrd="0" presId="urn:microsoft.com/office/officeart/2005/8/layout/vProcess5"/>
    <dgm:cxn modelId="{5A5BB005-82CE-4A70-90D4-93C33375BCC8}" type="presOf" srcId="{3117FE85-EEC7-482A-8121-346187E7A856}" destId="{D1861F24-AEFA-4EC0-918E-BA4E3C754DED}" srcOrd="0" destOrd="0" presId="urn:microsoft.com/office/officeart/2005/8/layout/vProcess5"/>
    <dgm:cxn modelId="{0F15D805-A5BC-45C4-9CC5-A057CC93CA4D}" srcId="{8E3B9C4E-46E9-4AAA-86F2-5D44C2832AE4}" destId="{FB4FAB3B-067F-49BB-B571-63E7265EA4D0}" srcOrd="2" destOrd="0" parTransId="{97EFA934-1BCF-484B-8E9A-906C60CC658A}" sibTransId="{BE77BBA3-F199-4691-B9B1-6637C8FE21C6}"/>
    <dgm:cxn modelId="{892CFE28-2EE4-446C-9FD5-3E4E9F44B606}" type="presOf" srcId="{88AC0539-3FAB-4F5A-91D0-0DE8891FBD57}" destId="{25F8EFEF-4C53-4BC3-9429-A300C293FB36}" srcOrd="1" destOrd="0" presId="urn:microsoft.com/office/officeart/2005/8/layout/vProcess5"/>
    <dgm:cxn modelId="{FECBEB32-3994-48F3-97BC-525AA390EECB}" type="presOf" srcId="{6B9A44CF-DDDF-483B-BA8D-AA63D433E7CC}" destId="{699A44E8-828B-48C0-8847-E476057272FF}" srcOrd="1" destOrd="0" presId="urn:microsoft.com/office/officeart/2005/8/layout/vProcess5"/>
    <dgm:cxn modelId="{0869FA62-2F9E-4217-976A-26C77D79F670}" srcId="{8E3B9C4E-46E9-4AAA-86F2-5D44C2832AE4}" destId="{BD13A961-1D1C-45E6-B761-26B4534D3B10}" srcOrd="4" destOrd="0" parTransId="{2EFC8268-ECF1-4FE7-8418-FED5ABF8F7C6}" sibTransId="{CDD4DC21-C6B7-4581-BFC3-ACD0DBED3635}"/>
    <dgm:cxn modelId="{F57E5D6C-4387-4DD7-908F-974CF75BC1A4}" type="presOf" srcId="{A9489F19-CF5E-4A6C-B89D-5804ADBA060D}" destId="{36163C14-21D9-472C-A182-0073D7A7A77F}" srcOrd="0" destOrd="0" presId="urn:microsoft.com/office/officeart/2005/8/layout/vProcess5"/>
    <dgm:cxn modelId="{7B1ECD50-EAAD-431F-958B-3289D18C3150}" type="presOf" srcId="{6B9A44CF-DDDF-483B-BA8D-AA63D433E7CC}" destId="{E55E16B3-D2BE-4600-8A0F-EEBC9DA9A78F}" srcOrd="0" destOrd="0" presId="urn:microsoft.com/office/officeart/2005/8/layout/vProcess5"/>
    <dgm:cxn modelId="{3ECA1175-025D-4CD0-B5DC-818686C2A8D7}" type="presOf" srcId="{88AC0539-3FAB-4F5A-91D0-0DE8891FBD57}" destId="{9DF21131-9C3E-48F8-95D8-F1A92A42048A}" srcOrd="0" destOrd="0" presId="urn:microsoft.com/office/officeart/2005/8/layout/vProcess5"/>
    <dgm:cxn modelId="{B8D6C989-345E-4302-BB28-E0856A256277}" type="presOf" srcId="{714CA8F3-43D1-4D2B-BDE2-1F0DC52117D1}" destId="{6B3DD16A-C5C4-48D4-A1B5-CAD29FEFB83B}" srcOrd="0" destOrd="0" presId="urn:microsoft.com/office/officeart/2005/8/layout/vProcess5"/>
    <dgm:cxn modelId="{CB0A818F-C7F4-4AA8-B668-172A325979AD}" type="presOf" srcId="{A9489F19-CF5E-4A6C-B89D-5804ADBA060D}" destId="{61B5B8D5-6A29-4F45-AC98-6C57C1655852}" srcOrd="1" destOrd="0" presId="urn:microsoft.com/office/officeart/2005/8/layout/vProcess5"/>
    <dgm:cxn modelId="{C8F94D9E-00F5-4919-A091-1371B9F7C28F}" type="presOf" srcId="{BD13A961-1D1C-45E6-B761-26B4534D3B10}" destId="{9E22C947-A196-402A-A2E1-015719BFEB40}" srcOrd="0" destOrd="0" presId="urn:microsoft.com/office/officeart/2005/8/layout/vProcess5"/>
    <dgm:cxn modelId="{5CB108B4-33F1-4933-879B-F86984C0E15B}" type="presOf" srcId="{8E3B9C4E-46E9-4AAA-86F2-5D44C2832AE4}" destId="{7AD28349-9C9D-42E5-A9CB-D8FFBAC0A258}" srcOrd="0" destOrd="0" presId="urn:microsoft.com/office/officeart/2005/8/layout/vProcess5"/>
    <dgm:cxn modelId="{876D16C3-AC19-426E-9EC9-A990BD18A1B8}" srcId="{8E3B9C4E-46E9-4AAA-86F2-5D44C2832AE4}" destId="{A9489F19-CF5E-4A6C-B89D-5804ADBA060D}" srcOrd="3" destOrd="0" parTransId="{C79E3761-CABB-4CB4-BE23-4B9B4E87918C}" sibTransId="{97F208A6-44E4-4B7C-BABA-73E27CFE4BF4}"/>
    <dgm:cxn modelId="{07B1E5C6-684C-4FBB-B3CD-37770D44B27A}" type="presOf" srcId="{FB4FAB3B-067F-49BB-B571-63E7265EA4D0}" destId="{FCC874E0-0206-451D-9802-13DF35695E60}" srcOrd="1" destOrd="0" presId="urn:microsoft.com/office/officeart/2005/8/layout/vProcess5"/>
    <dgm:cxn modelId="{C6D753CE-6659-4A18-BD4A-51A2C6477F0F}" type="presOf" srcId="{FB4FAB3B-067F-49BB-B571-63E7265EA4D0}" destId="{399F7F3B-081C-4DA5-86C9-91A4154CB08E}" srcOrd="0" destOrd="0" presId="urn:microsoft.com/office/officeart/2005/8/layout/vProcess5"/>
    <dgm:cxn modelId="{772914D0-0A59-4635-B46C-88196091D7FB}" srcId="{8E3B9C4E-46E9-4AAA-86F2-5D44C2832AE4}" destId="{88AC0539-3FAB-4F5A-91D0-0DE8891FBD57}" srcOrd="0" destOrd="0" parTransId="{2B4E7F35-EE78-470A-949C-AF0C3CBD8704}" sibTransId="{3117FE85-EEC7-482A-8121-346187E7A856}"/>
    <dgm:cxn modelId="{2BA470E2-0051-43C9-9A9E-52C78E0452DA}" srcId="{8E3B9C4E-46E9-4AAA-86F2-5D44C2832AE4}" destId="{6B9A44CF-DDDF-483B-BA8D-AA63D433E7CC}" srcOrd="1" destOrd="0" parTransId="{DD29719B-FDDD-4F5D-8C87-3F2FA17D1ADA}" sibTransId="{714CA8F3-43D1-4D2B-BDE2-1F0DC52117D1}"/>
    <dgm:cxn modelId="{B8E630E8-3B5D-4578-85CC-D28F49A189C5}" type="presOf" srcId="{BD13A961-1D1C-45E6-B761-26B4534D3B10}" destId="{306347F3-0203-4341-9A06-FE8410B30184}" srcOrd="1" destOrd="0" presId="urn:microsoft.com/office/officeart/2005/8/layout/vProcess5"/>
    <dgm:cxn modelId="{94D9BBFA-8E77-4C01-9D4A-03F5716C0162}" type="presOf" srcId="{97F208A6-44E4-4B7C-BABA-73E27CFE4BF4}" destId="{07E00839-83F3-46DB-9662-C97814322BE0}" srcOrd="0" destOrd="0" presId="urn:microsoft.com/office/officeart/2005/8/layout/vProcess5"/>
    <dgm:cxn modelId="{1EAAE161-F4F1-4B97-AECB-B1D768A0CE9C}" type="presParOf" srcId="{7AD28349-9C9D-42E5-A9CB-D8FFBAC0A258}" destId="{4D275985-6597-4C12-9DFD-E90015DF5E72}" srcOrd="0" destOrd="0" presId="urn:microsoft.com/office/officeart/2005/8/layout/vProcess5"/>
    <dgm:cxn modelId="{B179CD8D-6E0F-4664-98AF-04EE54FDAC11}" type="presParOf" srcId="{7AD28349-9C9D-42E5-A9CB-D8FFBAC0A258}" destId="{9DF21131-9C3E-48F8-95D8-F1A92A42048A}" srcOrd="1" destOrd="0" presId="urn:microsoft.com/office/officeart/2005/8/layout/vProcess5"/>
    <dgm:cxn modelId="{F4EC71BE-391D-4829-A75D-8CC73A600BA2}" type="presParOf" srcId="{7AD28349-9C9D-42E5-A9CB-D8FFBAC0A258}" destId="{E55E16B3-D2BE-4600-8A0F-EEBC9DA9A78F}" srcOrd="2" destOrd="0" presId="urn:microsoft.com/office/officeart/2005/8/layout/vProcess5"/>
    <dgm:cxn modelId="{317661AB-131C-4384-82F9-80444C76F032}" type="presParOf" srcId="{7AD28349-9C9D-42E5-A9CB-D8FFBAC0A258}" destId="{399F7F3B-081C-4DA5-86C9-91A4154CB08E}" srcOrd="3" destOrd="0" presId="urn:microsoft.com/office/officeart/2005/8/layout/vProcess5"/>
    <dgm:cxn modelId="{269BCF8A-D534-4FAF-8662-C8C1E6AD6516}" type="presParOf" srcId="{7AD28349-9C9D-42E5-A9CB-D8FFBAC0A258}" destId="{36163C14-21D9-472C-A182-0073D7A7A77F}" srcOrd="4" destOrd="0" presId="urn:microsoft.com/office/officeart/2005/8/layout/vProcess5"/>
    <dgm:cxn modelId="{2BBD6252-4607-43DA-8EB5-AA19F93A2BD4}" type="presParOf" srcId="{7AD28349-9C9D-42E5-A9CB-D8FFBAC0A258}" destId="{9E22C947-A196-402A-A2E1-015719BFEB40}" srcOrd="5" destOrd="0" presId="urn:microsoft.com/office/officeart/2005/8/layout/vProcess5"/>
    <dgm:cxn modelId="{537DA6D5-E59D-410C-B70E-E8D2F9BA258D}" type="presParOf" srcId="{7AD28349-9C9D-42E5-A9CB-D8FFBAC0A258}" destId="{D1861F24-AEFA-4EC0-918E-BA4E3C754DED}" srcOrd="6" destOrd="0" presId="urn:microsoft.com/office/officeart/2005/8/layout/vProcess5"/>
    <dgm:cxn modelId="{675EC2E9-2B19-4188-8277-17587CCCE10C}" type="presParOf" srcId="{7AD28349-9C9D-42E5-A9CB-D8FFBAC0A258}" destId="{6B3DD16A-C5C4-48D4-A1B5-CAD29FEFB83B}" srcOrd="7" destOrd="0" presId="urn:microsoft.com/office/officeart/2005/8/layout/vProcess5"/>
    <dgm:cxn modelId="{4B5CD2FC-7CA7-4386-890E-983C9A817AB6}" type="presParOf" srcId="{7AD28349-9C9D-42E5-A9CB-D8FFBAC0A258}" destId="{CCF58B9C-B01E-4281-8C4E-069EF769DCD4}" srcOrd="8" destOrd="0" presId="urn:microsoft.com/office/officeart/2005/8/layout/vProcess5"/>
    <dgm:cxn modelId="{8C55B954-0EA2-4AE9-9690-B575F86422AE}" type="presParOf" srcId="{7AD28349-9C9D-42E5-A9CB-D8FFBAC0A258}" destId="{07E00839-83F3-46DB-9662-C97814322BE0}" srcOrd="9" destOrd="0" presId="urn:microsoft.com/office/officeart/2005/8/layout/vProcess5"/>
    <dgm:cxn modelId="{C0F1B559-15E9-4D16-91B0-BF8E1B7F0D81}" type="presParOf" srcId="{7AD28349-9C9D-42E5-A9CB-D8FFBAC0A258}" destId="{25F8EFEF-4C53-4BC3-9429-A300C293FB36}" srcOrd="10" destOrd="0" presId="urn:microsoft.com/office/officeart/2005/8/layout/vProcess5"/>
    <dgm:cxn modelId="{9C0AF399-DF55-48DF-A8AF-E38944FA1882}" type="presParOf" srcId="{7AD28349-9C9D-42E5-A9CB-D8FFBAC0A258}" destId="{699A44E8-828B-48C0-8847-E476057272FF}" srcOrd="11" destOrd="0" presId="urn:microsoft.com/office/officeart/2005/8/layout/vProcess5"/>
    <dgm:cxn modelId="{F5CDAB21-3399-4079-9343-B68DA4F427C4}" type="presParOf" srcId="{7AD28349-9C9D-42E5-A9CB-D8FFBAC0A258}" destId="{FCC874E0-0206-451D-9802-13DF35695E60}" srcOrd="12" destOrd="0" presId="urn:microsoft.com/office/officeart/2005/8/layout/vProcess5"/>
    <dgm:cxn modelId="{5130BC3F-7CFA-4B29-BC0C-7CCF4366E25A}" type="presParOf" srcId="{7AD28349-9C9D-42E5-A9CB-D8FFBAC0A258}" destId="{61B5B8D5-6A29-4F45-AC98-6C57C1655852}" srcOrd="13" destOrd="0" presId="urn:microsoft.com/office/officeart/2005/8/layout/vProcess5"/>
    <dgm:cxn modelId="{D08B242A-B764-4C80-A175-4EEB427A7A02}" type="presParOf" srcId="{7AD28349-9C9D-42E5-A9CB-D8FFBAC0A258}" destId="{306347F3-0203-4341-9A06-FE8410B30184}" srcOrd="14" destOrd="0" presId="urn:microsoft.com/office/officeart/2005/8/layout/vProcess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3E9FD0-93C6-4AE6-9531-918932A56607}">
      <dsp:nvSpPr>
        <dsp:cNvPr id="0" name=""/>
        <dsp:cNvSpPr/>
      </dsp:nvSpPr>
      <dsp:spPr>
        <a:xfrm>
          <a:off x="0" y="1503"/>
          <a:ext cx="3983421" cy="0"/>
        </a:xfrm>
        <a:prstGeom prst="lin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9E73AA-0EDB-4CE2-8BE5-1E49F7EF77FC}">
      <dsp:nvSpPr>
        <dsp:cNvPr id="0" name=""/>
        <dsp:cNvSpPr/>
      </dsp:nvSpPr>
      <dsp:spPr>
        <a:xfrm>
          <a:off x="0" y="1503"/>
          <a:ext cx="796684" cy="30761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D</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O</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C</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T</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R</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I</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N</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A</a:t>
          </a:r>
        </a:p>
        <a:p>
          <a:pPr marL="0" lvl="0" indent="0" algn="ctr" defTabSz="444500">
            <a:lnSpc>
              <a:spcPct val="90000"/>
            </a:lnSpc>
            <a:spcBef>
              <a:spcPct val="0"/>
            </a:spcBef>
            <a:spcAft>
              <a:spcPct val="35000"/>
            </a:spcAft>
            <a:buNone/>
          </a:pPr>
          <a:endParaRPr lang="es-PE" sz="10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N</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A</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C</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I</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O</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N</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A</a:t>
          </a:r>
        </a:p>
        <a:p>
          <a:pPr marL="0" lvl="0" indent="0" algn="ctr" defTabSz="444500">
            <a:lnSpc>
              <a:spcPct val="90000"/>
            </a:lnSpc>
            <a:spcBef>
              <a:spcPct val="0"/>
            </a:spcBef>
            <a:spcAft>
              <a:spcPct val="35000"/>
            </a:spcAft>
            <a:buNone/>
          </a:pPr>
          <a:r>
            <a:rPr lang="es-PE" sz="1000" b="1" kern="1200">
              <a:solidFill>
                <a:sysClr val="windowText" lastClr="000000"/>
              </a:solidFill>
              <a:latin typeface="Times New Roman" panose="02020603050405020304" pitchFamily="18" charset="0"/>
              <a:ea typeface="+mn-ea"/>
              <a:cs typeface="Times New Roman" panose="02020603050405020304" pitchFamily="18" charset="0"/>
            </a:rPr>
            <a:t>L</a:t>
          </a:r>
          <a:endParaRPr lang="es-PE" sz="1100" b="1" kern="1200">
            <a:solidFill>
              <a:sysClr val="windowText" lastClr="000000"/>
            </a:solidFill>
            <a:latin typeface="Times New Roman" panose="02020603050405020304" pitchFamily="18" charset="0"/>
            <a:ea typeface="+mn-ea"/>
            <a:cs typeface="Times New Roman" panose="02020603050405020304" pitchFamily="18" charset="0"/>
          </a:endParaRPr>
        </a:p>
        <a:p>
          <a:pPr marL="0" lvl="0" indent="0" algn="ctr" defTabSz="444500">
            <a:lnSpc>
              <a:spcPct val="90000"/>
            </a:lnSpc>
            <a:spcBef>
              <a:spcPct val="0"/>
            </a:spcBef>
            <a:spcAft>
              <a:spcPct val="35000"/>
            </a:spcAft>
            <a:buNone/>
          </a:pPr>
          <a:endPar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1503"/>
        <a:ext cx="796684" cy="3076108"/>
      </dsp:txXfrm>
    </dsp:sp>
    <dsp:sp modelId="{B16CD26A-D747-4F19-BF51-99C678718522}">
      <dsp:nvSpPr>
        <dsp:cNvPr id="0" name=""/>
        <dsp:cNvSpPr/>
      </dsp:nvSpPr>
      <dsp:spPr>
        <a:xfrm>
          <a:off x="856435" y="37664"/>
          <a:ext cx="3126985" cy="7232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Santistevan De Noriega, Jorge, menciona que: "el juicio político seguido al alto funcionario por violación a la Constitución y el antejucio que a este se le somete en caso de delito han consttuido siempre una misma unidad y una misma institución". </a:t>
          </a:r>
        </a:p>
      </dsp:txBody>
      <dsp:txXfrm>
        <a:off x="856435" y="37664"/>
        <a:ext cx="3126985" cy="723215"/>
      </dsp:txXfrm>
    </dsp:sp>
    <dsp:sp modelId="{C033A98E-2734-4C1A-9C98-758A1B423C95}">
      <dsp:nvSpPr>
        <dsp:cNvPr id="0" name=""/>
        <dsp:cNvSpPr/>
      </dsp:nvSpPr>
      <dsp:spPr>
        <a:xfrm>
          <a:off x="796684" y="760880"/>
          <a:ext cx="3186736"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154E3D2-C82B-4EBB-B21B-D2CAD792AB60}">
      <dsp:nvSpPr>
        <dsp:cNvPr id="0" name=""/>
        <dsp:cNvSpPr/>
      </dsp:nvSpPr>
      <dsp:spPr>
        <a:xfrm>
          <a:off x="856435" y="797040"/>
          <a:ext cx="3126985" cy="7232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Chirinos Soto, sostiene que,"Una acusación por infracción  a  la constitución, es un jucio politico pues son consecuencias politicas derivadas del ámbito de funciones".</a:t>
          </a:r>
        </a:p>
      </dsp:txBody>
      <dsp:txXfrm>
        <a:off x="856435" y="797040"/>
        <a:ext cx="3126985" cy="723215"/>
      </dsp:txXfrm>
    </dsp:sp>
    <dsp:sp modelId="{2F431A31-A473-4BDB-A6C8-26DFBD9F1A98}">
      <dsp:nvSpPr>
        <dsp:cNvPr id="0" name=""/>
        <dsp:cNvSpPr/>
      </dsp:nvSpPr>
      <dsp:spPr>
        <a:xfrm>
          <a:off x="796684" y="1520256"/>
          <a:ext cx="3186736"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EF3CCBE4-DE81-44C2-A00D-2EB389CE5B65}">
      <dsp:nvSpPr>
        <dsp:cNvPr id="0" name=""/>
        <dsp:cNvSpPr/>
      </dsp:nvSpPr>
      <dsp:spPr>
        <a:xfrm>
          <a:off x="856435" y="1556417"/>
          <a:ext cx="3126985" cy="7232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Bernales Ballesteros, Enrique, sostiene que:"Admitiendo que en realidad todo y cada uno de los artículos constitucionales podrían constituir el catálogo de posibles contravenciones susceptibles de acusación por infracción a la Constitución". </a:t>
          </a:r>
        </a:p>
      </dsp:txBody>
      <dsp:txXfrm>
        <a:off x="856435" y="1556417"/>
        <a:ext cx="3126985" cy="723215"/>
      </dsp:txXfrm>
    </dsp:sp>
    <dsp:sp modelId="{5BACCA6C-3861-469A-978D-C12A49172A11}">
      <dsp:nvSpPr>
        <dsp:cNvPr id="0" name=""/>
        <dsp:cNvSpPr/>
      </dsp:nvSpPr>
      <dsp:spPr>
        <a:xfrm>
          <a:off x="796684" y="2279633"/>
          <a:ext cx="3186736"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0766494-1EC3-4080-933F-F0D3DADF96E5}">
      <dsp:nvSpPr>
        <dsp:cNvPr id="0" name=""/>
        <dsp:cNvSpPr/>
      </dsp:nvSpPr>
      <dsp:spPr>
        <a:xfrm>
          <a:off x="856435" y="2315794"/>
          <a:ext cx="3126985" cy="7232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Eguiguren Praeli, Franscisco, meciona que: "Si bien este proceso incluye a funcionarios de algunos nuevos organos constitucionalmente autónomos que fueron creados con la Constitución del 93, pero a diferencia de la Constitución del 79, el listado admite la posibilidad de extenderlo a otros funcionarios".</a:t>
          </a:r>
        </a:p>
      </dsp:txBody>
      <dsp:txXfrm>
        <a:off x="856435" y="2315794"/>
        <a:ext cx="3126985" cy="723215"/>
      </dsp:txXfrm>
    </dsp:sp>
    <dsp:sp modelId="{E911174D-B847-491C-A9EC-A941FAE01C1C}">
      <dsp:nvSpPr>
        <dsp:cNvPr id="0" name=""/>
        <dsp:cNvSpPr/>
      </dsp:nvSpPr>
      <dsp:spPr>
        <a:xfrm>
          <a:off x="796684" y="3039009"/>
          <a:ext cx="3186736" cy="0"/>
        </a:xfrm>
        <a:prstGeom prst="line">
          <a:avLst/>
        </a:prstGeom>
        <a:solidFill>
          <a:sysClr val="windowText" lastClr="000000">
            <a:hueOff val="0"/>
            <a:satOff val="0"/>
            <a:lumOff val="0"/>
            <a:alphaOff val="0"/>
          </a:sysClr>
        </a:solidFill>
        <a:ln w="12700" cap="flat" cmpd="sng" algn="ctr">
          <a:solidFill>
            <a:sysClr val="windowText" lastClr="00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B47EC7-C01C-42F1-B0B4-BC20CC2A7D37}">
      <dsp:nvSpPr>
        <dsp:cNvPr id="0" name=""/>
        <dsp:cNvSpPr/>
      </dsp:nvSpPr>
      <dsp:spPr>
        <a:xfrm>
          <a:off x="578269" y="1316934"/>
          <a:ext cx="287890" cy="1097145"/>
        </a:xfrm>
        <a:custGeom>
          <a:avLst/>
          <a:gdLst/>
          <a:ahLst/>
          <a:cxnLst/>
          <a:rect l="0" t="0" r="0" b="0"/>
          <a:pathLst>
            <a:path>
              <a:moveTo>
                <a:pt x="0" y="0"/>
              </a:moveTo>
              <a:lnTo>
                <a:pt x="143945" y="0"/>
              </a:lnTo>
              <a:lnTo>
                <a:pt x="143945" y="1097145"/>
              </a:lnTo>
              <a:lnTo>
                <a:pt x="287890" y="1097145"/>
              </a:lnTo>
            </a:path>
          </a:pathLst>
        </a:custGeom>
        <a:noFill/>
        <a:ln w="28575" cap="flat" cmpd="sng" algn="ctr">
          <a:solidFill>
            <a:srgbClr val="44546A">
              <a:lumMod val="7500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PE" sz="500" b="1" kern="1200">
            <a:solidFill>
              <a:sysClr val="windowText" lastClr="000000">
                <a:hueOff val="0"/>
                <a:satOff val="0"/>
                <a:lumOff val="0"/>
                <a:alphaOff val="0"/>
              </a:sysClr>
            </a:solidFill>
            <a:latin typeface="Calibri" panose="020F0502020204030204"/>
            <a:ea typeface="+mn-ea"/>
            <a:cs typeface="+mn-cs"/>
          </a:endParaRPr>
        </a:p>
      </dsp:txBody>
      <dsp:txXfrm>
        <a:off x="693857" y="1837149"/>
        <a:ext cx="0" cy="0"/>
      </dsp:txXfrm>
    </dsp:sp>
    <dsp:sp modelId="{9FFCD8C4-D172-426E-895A-AFCA0003343E}">
      <dsp:nvSpPr>
        <dsp:cNvPr id="0" name=""/>
        <dsp:cNvSpPr/>
      </dsp:nvSpPr>
      <dsp:spPr>
        <a:xfrm>
          <a:off x="578269" y="1316934"/>
          <a:ext cx="287890" cy="548572"/>
        </a:xfrm>
        <a:custGeom>
          <a:avLst/>
          <a:gdLst/>
          <a:ahLst/>
          <a:cxnLst/>
          <a:rect l="0" t="0" r="0" b="0"/>
          <a:pathLst>
            <a:path>
              <a:moveTo>
                <a:pt x="0" y="0"/>
              </a:moveTo>
              <a:lnTo>
                <a:pt x="143945" y="0"/>
              </a:lnTo>
              <a:lnTo>
                <a:pt x="143945" y="548572"/>
              </a:lnTo>
              <a:lnTo>
                <a:pt x="287890" y="548572"/>
              </a:lnTo>
            </a:path>
          </a:pathLst>
        </a:custGeom>
        <a:noFill/>
        <a:ln w="28575" cap="flat" cmpd="sng" algn="ctr">
          <a:solidFill>
            <a:srgbClr val="44546A">
              <a:lumMod val="7500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PE" sz="500" b="1" kern="1200">
            <a:solidFill>
              <a:sysClr val="windowText" lastClr="000000">
                <a:hueOff val="0"/>
                <a:satOff val="0"/>
                <a:lumOff val="0"/>
                <a:alphaOff val="0"/>
              </a:sysClr>
            </a:solidFill>
            <a:latin typeface="Calibri" panose="020F0502020204030204"/>
            <a:ea typeface="+mn-ea"/>
            <a:cs typeface="+mn-cs"/>
          </a:endParaRPr>
        </a:p>
      </dsp:txBody>
      <dsp:txXfrm>
        <a:off x="706726" y="1575732"/>
        <a:ext cx="0" cy="0"/>
      </dsp:txXfrm>
    </dsp:sp>
    <dsp:sp modelId="{B2BE9FE7-B661-412D-BA49-8305BD72BC36}">
      <dsp:nvSpPr>
        <dsp:cNvPr id="0" name=""/>
        <dsp:cNvSpPr/>
      </dsp:nvSpPr>
      <dsp:spPr>
        <a:xfrm>
          <a:off x="578269" y="1271214"/>
          <a:ext cx="287890" cy="91440"/>
        </a:xfrm>
        <a:custGeom>
          <a:avLst/>
          <a:gdLst/>
          <a:ahLst/>
          <a:cxnLst/>
          <a:rect l="0" t="0" r="0" b="0"/>
          <a:pathLst>
            <a:path>
              <a:moveTo>
                <a:pt x="0" y="45720"/>
              </a:moveTo>
              <a:lnTo>
                <a:pt x="287890" y="4572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PE" sz="500" b="1" kern="1200">
            <a:solidFill>
              <a:sysClr val="windowText" lastClr="000000">
                <a:hueOff val="0"/>
                <a:satOff val="0"/>
                <a:lumOff val="0"/>
                <a:alphaOff val="0"/>
              </a:sysClr>
            </a:solidFill>
            <a:latin typeface="Calibri" panose="020F0502020204030204"/>
            <a:ea typeface="+mn-ea"/>
            <a:cs typeface="+mn-cs"/>
          </a:endParaRPr>
        </a:p>
      </dsp:txBody>
      <dsp:txXfrm>
        <a:off x="715017" y="1309737"/>
        <a:ext cx="0" cy="0"/>
      </dsp:txXfrm>
    </dsp:sp>
    <dsp:sp modelId="{7C49CF4D-9BAF-40D9-96F1-6E204E109E32}">
      <dsp:nvSpPr>
        <dsp:cNvPr id="0" name=""/>
        <dsp:cNvSpPr/>
      </dsp:nvSpPr>
      <dsp:spPr>
        <a:xfrm>
          <a:off x="578269" y="768361"/>
          <a:ext cx="287890" cy="548572"/>
        </a:xfrm>
        <a:custGeom>
          <a:avLst/>
          <a:gdLst/>
          <a:ahLst/>
          <a:cxnLst/>
          <a:rect l="0" t="0" r="0" b="0"/>
          <a:pathLst>
            <a:path>
              <a:moveTo>
                <a:pt x="0" y="548572"/>
              </a:moveTo>
              <a:lnTo>
                <a:pt x="143945" y="548572"/>
              </a:lnTo>
              <a:lnTo>
                <a:pt x="143945" y="0"/>
              </a:lnTo>
              <a:lnTo>
                <a:pt x="287890" y="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PE" sz="500" b="1" kern="1200">
            <a:solidFill>
              <a:sysClr val="windowText" lastClr="000000">
                <a:hueOff val="0"/>
                <a:satOff val="0"/>
                <a:lumOff val="0"/>
                <a:alphaOff val="0"/>
              </a:sysClr>
            </a:solidFill>
            <a:latin typeface="Calibri" panose="020F0502020204030204"/>
            <a:ea typeface="+mn-ea"/>
            <a:cs typeface="+mn-cs"/>
          </a:endParaRPr>
        </a:p>
      </dsp:txBody>
      <dsp:txXfrm>
        <a:off x="706726" y="1027160"/>
        <a:ext cx="0" cy="0"/>
      </dsp:txXfrm>
    </dsp:sp>
    <dsp:sp modelId="{BF9A899F-50D3-4A90-9019-73EDA3B12838}">
      <dsp:nvSpPr>
        <dsp:cNvPr id="0" name=""/>
        <dsp:cNvSpPr/>
      </dsp:nvSpPr>
      <dsp:spPr>
        <a:xfrm>
          <a:off x="578269" y="219789"/>
          <a:ext cx="287890" cy="1097145"/>
        </a:xfrm>
        <a:custGeom>
          <a:avLst/>
          <a:gdLst/>
          <a:ahLst/>
          <a:cxnLst/>
          <a:rect l="0" t="0" r="0" b="0"/>
          <a:pathLst>
            <a:path>
              <a:moveTo>
                <a:pt x="0" y="1097145"/>
              </a:moveTo>
              <a:lnTo>
                <a:pt x="143945" y="1097145"/>
              </a:lnTo>
              <a:lnTo>
                <a:pt x="143945" y="0"/>
              </a:lnTo>
              <a:lnTo>
                <a:pt x="287890" y="0"/>
              </a:lnTo>
            </a:path>
          </a:pathLst>
        </a:custGeom>
        <a:noFill/>
        <a:ln w="28575" cap="flat" cmpd="sng" algn="ctr">
          <a:solidFill>
            <a:srgbClr val="44546A">
              <a:lumMod val="7500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PE" sz="500" b="1" kern="1200">
            <a:solidFill>
              <a:sysClr val="windowText" lastClr="000000">
                <a:hueOff val="0"/>
                <a:satOff val="0"/>
                <a:lumOff val="0"/>
                <a:alphaOff val="0"/>
              </a:sysClr>
            </a:solidFill>
            <a:latin typeface="Calibri" panose="020F0502020204030204"/>
            <a:ea typeface="+mn-ea"/>
            <a:cs typeface="+mn-cs"/>
          </a:endParaRPr>
        </a:p>
      </dsp:txBody>
      <dsp:txXfrm>
        <a:off x="693857" y="740004"/>
        <a:ext cx="0" cy="0"/>
      </dsp:txXfrm>
    </dsp:sp>
    <dsp:sp modelId="{8DE680A7-E6E8-443A-BC0E-9E7B35854A65}">
      <dsp:nvSpPr>
        <dsp:cNvPr id="0" name=""/>
        <dsp:cNvSpPr/>
      </dsp:nvSpPr>
      <dsp:spPr>
        <a:xfrm rot="16200000">
          <a:off x="-796049" y="1097505"/>
          <a:ext cx="2309779"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PE"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JURISPRUDENCIA   RELEVANTE </a:t>
          </a:r>
        </a:p>
      </dsp:txBody>
      <dsp:txXfrm>
        <a:off x="-796049" y="1097505"/>
        <a:ext cx="2309779" cy="438858"/>
      </dsp:txXfrm>
    </dsp:sp>
    <dsp:sp modelId="{5FC2CAF6-8F3A-42A1-8BF7-E7674583CF6F}">
      <dsp:nvSpPr>
        <dsp:cNvPr id="0" name=""/>
        <dsp:cNvSpPr/>
      </dsp:nvSpPr>
      <dsp:spPr>
        <a:xfrm>
          <a:off x="866160" y="360"/>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 N°3593-2006-AA/TC</a:t>
          </a:r>
        </a:p>
      </dsp:txBody>
      <dsp:txXfrm>
        <a:off x="866160" y="360"/>
        <a:ext cx="1439454" cy="438858"/>
      </dsp:txXfrm>
    </dsp:sp>
    <dsp:sp modelId="{0EA80C83-4D48-413C-B868-76A4E36F5434}">
      <dsp:nvSpPr>
        <dsp:cNvPr id="0" name=""/>
        <dsp:cNvSpPr/>
      </dsp:nvSpPr>
      <dsp:spPr>
        <a:xfrm>
          <a:off x="866160" y="548932"/>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EXP.N°00156-2012-PHC/TC</a:t>
          </a:r>
        </a:p>
      </dsp:txBody>
      <dsp:txXfrm>
        <a:off x="866160" y="548932"/>
        <a:ext cx="1439454" cy="438858"/>
      </dsp:txXfrm>
    </dsp:sp>
    <dsp:sp modelId="{478F2532-53C5-4ACF-BCCC-50DD5ED2EE47}">
      <dsp:nvSpPr>
        <dsp:cNvPr id="0" name=""/>
        <dsp:cNvSpPr/>
      </dsp:nvSpPr>
      <dsp:spPr>
        <a:xfrm>
          <a:off x="866160" y="1097505"/>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EXP.N°0006-2003-AI/TC</a:t>
          </a:r>
        </a:p>
      </dsp:txBody>
      <dsp:txXfrm>
        <a:off x="866160" y="1097505"/>
        <a:ext cx="1439454" cy="438858"/>
      </dsp:txXfrm>
    </dsp:sp>
    <dsp:sp modelId="{D218B816-23AA-4DC3-A6E5-4098F9B541E4}">
      <dsp:nvSpPr>
        <dsp:cNvPr id="0" name=""/>
        <dsp:cNvSpPr/>
      </dsp:nvSpPr>
      <dsp:spPr>
        <a:xfrm>
          <a:off x="866160" y="1646078"/>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 N°00030-2010-PHC/TC</a:t>
          </a:r>
        </a:p>
      </dsp:txBody>
      <dsp:txXfrm>
        <a:off x="866160" y="1646078"/>
        <a:ext cx="1439454" cy="438858"/>
      </dsp:txXfrm>
    </dsp:sp>
    <dsp:sp modelId="{F49BF3BA-F7F1-4EC7-9381-23B5CA227868}">
      <dsp:nvSpPr>
        <dsp:cNvPr id="0" name=""/>
        <dsp:cNvSpPr/>
      </dsp:nvSpPr>
      <dsp:spPr>
        <a:xfrm>
          <a:off x="866160" y="2194650"/>
          <a:ext cx="1439454" cy="438858"/>
        </a:xfrm>
        <a:prstGeom prst="rect">
          <a:avLst/>
        </a:prstGeom>
        <a:solidFill>
          <a:sysClr val="window" lastClr="FFFFFF">
            <a:hueOff val="0"/>
            <a:satOff val="0"/>
            <a:lumOff val="0"/>
            <a:alphaOff val="0"/>
          </a:sysClr>
        </a:solidFill>
        <a:ln w="28575" cap="flat" cmpd="sng" algn="ctr">
          <a:solidFill>
            <a:srgbClr val="44546A">
              <a:lumMod val="75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EXP N°03760-2004-AA/TC</a:t>
          </a:r>
        </a:p>
      </dsp:txBody>
      <dsp:txXfrm>
        <a:off x="866160" y="2194650"/>
        <a:ext cx="1439454" cy="43885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E43C56-7B1E-4664-BCBC-8532E99139B9}">
      <dsp:nvSpPr>
        <dsp:cNvPr id="0" name=""/>
        <dsp:cNvSpPr/>
      </dsp:nvSpPr>
      <dsp:spPr>
        <a:xfrm>
          <a:off x="707708" y="36"/>
          <a:ext cx="1296251" cy="648125"/>
        </a:xfrm>
        <a:prstGeom prst="roundRect">
          <a:avLst>
            <a:gd name="adj" fmla="val 10000"/>
          </a:avLst>
        </a:prstGeom>
        <a:solidFill>
          <a:srgbClr val="44546A">
            <a:lumMod val="60000"/>
            <a:lumOff val="4000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s-PE" sz="1000" b="1"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CASOS </a:t>
          </a:r>
        </a:p>
        <a:p>
          <a:pPr marL="0" lvl="0" indent="0" algn="ctr" defTabSz="444500">
            <a:lnSpc>
              <a:spcPct val="90000"/>
            </a:lnSpc>
            <a:spcBef>
              <a:spcPct val="0"/>
            </a:spcBef>
            <a:spcAft>
              <a:spcPct val="35000"/>
            </a:spcAft>
            <a:buNone/>
          </a:pPr>
          <a:r>
            <a:rPr lang="es-PE" sz="1000" b="1"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RELEVANTES</a:t>
          </a:r>
          <a:r>
            <a:rPr lang="es-PE" sz="900" b="1" kern="1200" cap="none" spc="0">
              <a:ln w="0"/>
              <a:solidFill>
                <a:sysClr val="window" lastClr="FFFFFF"/>
              </a:solidFill>
              <a:effectLst>
                <a:outerShdw blurRad="38100" dist="19050" dir="2700000" algn="tl" rotWithShape="0">
                  <a:sysClr val="windowText" lastClr="000000">
                    <a:alpha val="40000"/>
                  </a:sysClr>
                </a:outerShdw>
              </a:effectLst>
              <a:latin typeface="Times New Roman" panose="02020603050405020304" pitchFamily="18" charset="0"/>
              <a:ea typeface="+mn-ea"/>
              <a:cs typeface="Times New Roman" panose="02020603050405020304" pitchFamily="18" charset="0"/>
            </a:rPr>
            <a:t> </a:t>
          </a:r>
        </a:p>
      </dsp:txBody>
      <dsp:txXfrm>
        <a:off x="726691" y="19019"/>
        <a:ext cx="1258285" cy="610159"/>
      </dsp:txXfrm>
    </dsp:sp>
    <dsp:sp modelId="{C5A17BAA-4863-4ABC-8AEC-0CF9FA05F55B}">
      <dsp:nvSpPr>
        <dsp:cNvPr id="0" name=""/>
        <dsp:cNvSpPr/>
      </dsp:nvSpPr>
      <dsp:spPr>
        <a:xfrm>
          <a:off x="837333" y="648162"/>
          <a:ext cx="129625" cy="486094"/>
        </a:xfrm>
        <a:custGeom>
          <a:avLst/>
          <a:gdLst/>
          <a:ahLst/>
          <a:cxnLst/>
          <a:rect l="0" t="0" r="0" b="0"/>
          <a:pathLst>
            <a:path>
              <a:moveTo>
                <a:pt x="0" y="0"/>
              </a:moveTo>
              <a:lnTo>
                <a:pt x="0" y="486094"/>
              </a:lnTo>
              <a:lnTo>
                <a:pt x="129625" y="486094"/>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AEACB1-DDF9-4739-B563-0A76A9D77E8C}">
      <dsp:nvSpPr>
        <dsp:cNvPr id="0" name=""/>
        <dsp:cNvSpPr/>
      </dsp:nvSpPr>
      <dsp:spPr>
        <a:xfrm>
          <a:off x="966958" y="810193"/>
          <a:ext cx="1037001" cy="648125"/>
        </a:xfrm>
        <a:prstGeom prst="roundRect">
          <a:avLst>
            <a:gd name="adj" fmla="val 10000"/>
          </a:avLst>
        </a:prstGeom>
        <a:solidFill>
          <a:srgbClr val="E7E6E6">
            <a:alpha val="90000"/>
            <a:hueOff val="0"/>
            <a:satOff val="0"/>
            <a:lumOff val="0"/>
            <a:alphaOff val="0"/>
          </a:srgb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Denuncia Constitucional en contra del expresidente Ollanta Humala Tasso</a:t>
          </a:r>
          <a:endParaRPr lang="es-P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85941" y="829176"/>
        <a:ext cx="999035" cy="610159"/>
      </dsp:txXfrm>
    </dsp:sp>
    <dsp:sp modelId="{34C162C6-EDE4-4B78-9EFA-FB011D1478DF}">
      <dsp:nvSpPr>
        <dsp:cNvPr id="0" name=""/>
        <dsp:cNvSpPr/>
      </dsp:nvSpPr>
      <dsp:spPr>
        <a:xfrm>
          <a:off x="837333" y="648162"/>
          <a:ext cx="129625" cy="1296251"/>
        </a:xfrm>
        <a:custGeom>
          <a:avLst/>
          <a:gdLst/>
          <a:ahLst/>
          <a:cxnLst/>
          <a:rect l="0" t="0" r="0" b="0"/>
          <a:pathLst>
            <a:path>
              <a:moveTo>
                <a:pt x="0" y="0"/>
              </a:moveTo>
              <a:lnTo>
                <a:pt x="0" y="1296251"/>
              </a:lnTo>
              <a:lnTo>
                <a:pt x="129625" y="1296251"/>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6B9AD7-1482-4B0C-B305-3FA100629A44}">
      <dsp:nvSpPr>
        <dsp:cNvPr id="0" name=""/>
        <dsp:cNvSpPr/>
      </dsp:nvSpPr>
      <dsp:spPr>
        <a:xfrm>
          <a:off x="966958" y="1620351"/>
          <a:ext cx="1037001" cy="648125"/>
        </a:xfrm>
        <a:prstGeom prst="roundRect">
          <a:avLst>
            <a:gd name="adj" fmla="val 10000"/>
          </a:avLst>
        </a:prstGeom>
        <a:solidFill>
          <a:srgbClr val="E7E6E6">
            <a:alpha val="90000"/>
            <a:hueOff val="0"/>
            <a:satOff val="0"/>
            <a:lumOff val="0"/>
            <a:alphaOff val="0"/>
          </a:srgb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Denuncia Constitucional en contra del expresidente Alberto Fujimori Fujimori</a:t>
          </a:r>
          <a:endParaRPr lang="es-P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85941" y="1639334"/>
        <a:ext cx="999035" cy="610159"/>
      </dsp:txXfrm>
    </dsp:sp>
    <dsp:sp modelId="{72BA6403-4AFA-4F91-A268-432EE7638609}">
      <dsp:nvSpPr>
        <dsp:cNvPr id="0" name=""/>
        <dsp:cNvSpPr/>
      </dsp:nvSpPr>
      <dsp:spPr>
        <a:xfrm>
          <a:off x="837333" y="648162"/>
          <a:ext cx="129625" cy="2106409"/>
        </a:xfrm>
        <a:custGeom>
          <a:avLst/>
          <a:gdLst/>
          <a:ahLst/>
          <a:cxnLst/>
          <a:rect l="0" t="0" r="0" b="0"/>
          <a:pathLst>
            <a:path>
              <a:moveTo>
                <a:pt x="0" y="0"/>
              </a:moveTo>
              <a:lnTo>
                <a:pt x="0" y="2106409"/>
              </a:lnTo>
              <a:lnTo>
                <a:pt x="129625" y="2106409"/>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9536B-59E4-479E-9BCD-C7105344757A}">
      <dsp:nvSpPr>
        <dsp:cNvPr id="0" name=""/>
        <dsp:cNvSpPr/>
      </dsp:nvSpPr>
      <dsp:spPr>
        <a:xfrm>
          <a:off x="966958" y="2430508"/>
          <a:ext cx="1037001" cy="648125"/>
        </a:xfrm>
        <a:prstGeom prst="roundRect">
          <a:avLst>
            <a:gd name="adj" fmla="val 10000"/>
          </a:avLst>
        </a:prstGeom>
        <a:solidFill>
          <a:srgbClr val="E7E6E6">
            <a:alpha val="90000"/>
            <a:hueOff val="0"/>
            <a:satOff val="0"/>
            <a:lumOff val="0"/>
            <a:alphaOff val="0"/>
          </a:srgb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Denuncia Constitucional contra exjuez Supremo Cesar Hinostroza y ex consejeros del CNM</a:t>
          </a:r>
          <a:endParaRPr lang="es-P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85941" y="2449491"/>
        <a:ext cx="999035" cy="610159"/>
      </dsp:txXfrm>
    </dsp:sp>
    <dsp:sp modelId="{A07F43BB-3C2A-40DB-B055-B74EEA68C6BF}">
      <dsp:nvSpPr>
        <dsp:cNvPr id="0" name=""/>
        <dsp:cNvSpPr/>
      </dsp:nvSpPr>
      <dsp:spPr>
        <a:xfrm>
          <a:off x="837333" y="648162"/>
          <a:ext cx="129625" cy="2916566"/>
        </a:xfrm>
        <a:custGeom>
          <a:avLst/>
          <a:gdLst/>
          <a:ahLst/>
          <a:cxnLst/>
          <a:rect l="0" t="0" r="0" b="0"/>
          <a:pathLst>
            <a:path>
              <a:moveTo>
                <a:pt x="0" y="0"/>
              </a:moveTo>
              <a:lnTo>
                <a:pt x="0" y="2916566"/>
              </a:lnTo>
              <a:lnTo>
                <a:pt x="129625" y="2916566"/>
              </a:lnTo>
            </a:path>
          </a:pathLst>
        </a:custGeom>
        <a:noFill/>
        <a:ln w="12700" cap="flat" cmpd="sng" algn="ctr">
          <a:solidFill>
            <a:srgbClr val="44546A">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0D48EF1-ABEB-4A22-9F6E-017C02318E10}">
      <dsp:nvSpPr>
        <dsp:cNvPr id="0" name=""/>
        <dsp:cNvSpPr/>
      </dsp:nvSpPr>
      <dsp:spPr>
        <a:xfrm>
          <a:off x="966958" y="3240665"/>
          <a:ext cx="1037001" cy="648125"/>
        </a:xfrm>
        <a:prstGeom prst="roundRect">
          <a:avLst>
            <a:gd name="adj" fmla="val 10000"/>
          </a:avLst>
        </a:prstGeom>
        <a:solidFill>
          <a:srgbClr val="E7E6E6">
            <a:alpha val="90000"/>
            <a:hueOff val="0"/>
            <a:satOff val="0"/>
            <a:lumOff val="0"/>
            <a:alphaOff val="0"/>
          </a:srgb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s-PE"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Denuncia Constitucional Contra Kenji Fujimori y otros.</a:t>
          </a:r>
          <a:endParaRPr lang="es-PE"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85941" y="3259648"/>
        <a:ext cx="999035" cy="61015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D33C4C-7736-4879-8934-3AE588086D88}">
      <dsp:nvSpPr>
        <dsp:cNvPr id="0" name=""/>
        <dsp:cNvSpPr/>
      </dsp:nvSpPr>
      <dsp:spPr>
        <a:xfrm>
          <a:off x="1181099" y="816510"/>
          <a:ext cx="646353" cy="224354"/>
        </a:xfrm>
        <a:custGeom>
          <a:avLst/>
          <a:gdLst/>
          <a:ahLst/>
          <a:cxnLst/>
          <a:rect l="0" t="0" r="0" b="0"/>
          <a:pathLst>
            <a:path>
              <a:moveTo>
                <a:pt x="0" y="0"/>
              </a:moveTo>
              <a:lnTo>
                <a:pt x="0" y="112177"/>
              </a:lnTo>
              <a:lnTo>
                <a:pt x="646353" y="112177"/>
              </a:lnTo>
              <a:lnTo>
                <a:pt x="646353" y="22435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11C662-F929-4E6B-986F-82D408EBCA4A}">
      <dsp:nvSpPr>
        <dsp:cNvPr id="0" name=""/>
        <dsp:cNvSpPr/>
      </dsp:nvSpPr>
      <dsp:spPr>
        <a:xfrm>
          <a:off x="534746" y="816510"/>
          <a:ext cx="646353" cy="224354"/>
        </a:xfrm>
        <a:custGeom>
          <a:avLst/>
          <a:gdLst/>
          <a:ahLst/>
          <a:cxnLst/>
          <a:rect l="0" t="0" r="0" b="0"/>
          <a:pathLst>
            <a:path>
              <a:moveTo>
                <a:pt x="646353" y="0"/>
              </a:moveTo>
              <a:lnTo>
                <a:pt x="646353" y="112177"/>
              </a:lnTo>
              <a:lnTo>
                <a:pt x="0" y="112177"/>
              </a:lnTo>
              <a:lnTo>
                <a:pt x="0" y="22435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E7A82E-618C-4DD8-9272-F6E85280CA09}">
      <dsp:nvSpPr>
        <dsp:cNvPr id="0" name=""/>
        <dsp:cNvSpPr/>
      </dsp:nvSpPr>
      <dsp:spPr>
        <a:xfrm>
          <a:off x="914011" y="282333"/>
          <a:ext cx="534176" cy="534176"/>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665D32-9094-47CE-BEC6-9B64946C6CEE}">
      <dsp:nvSpPr>
        <dsp:cNvPr id="0" name=""/>
        <dsp:cNvSpPr/>
      </dsp:nvSpPr>
      <dsp:spPr>
        <a:xfrm>
          <a:off x="914011" y="282333"/>
          <a:ext cx="534176" cy="534176"/>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D81BB5-3BCE-4B0D-A615-034228E1C0B0}">
      <dsp:nvSpPr>
        <dsp:cNvPr id="0" name=""/>
        <dsp:cNvSpPr/>
      </dsp:nvSpPr>
      <dsp:spPr>
        <a:xfrm>
          <a:off x="646923" y="378485"/>
          <a:ext cx="1068353" cy="3418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PE"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OPINIONES </a:t>
          </a:r>
        </a:p>
        <a:p>
          <a:pPr marL="0" lvl="0" indent="0" algn="ctr" defTabSz="444500">
            <a:lnSpc>
              <a:spcPct val="90000"/>
            </a:lnSpc>
            <a:spcBef>
              <a:spcPct val="0"/>
            </a:spcBef>
            <a:spcAft>
              <a:spcPct val="35000"/>
            </a:spcAft>
            <a:buNone/>
          </a:pPr>
          <a:r>
            <a:rPr lang="es-PE"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 EXPERTOS</a:t>
          </a:r>
          <a:endParaRPr lang="es-PE"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646923" y="378485"/>
        <a:ext cx="1068353" cy="341873"/>
      </dsp:txXfrm>
    </dsp:sp>
    <dsp:sp modelId="{00C975D1-177C-4A92-92CB-D6B52BA47601}">
      <dsp:nvSpPr>
        <dsp:cNvPr id="0" name=""/>
        <dsp:cNvSpPr/>
      </dsp:nvSpPr>
      <dsp:spPr>
        <a:xfrm>
          <a:off x="267657" y="1040864"/>
          <a:ext cx="534176" cy="534176"/>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95A9E8-0895-4CCC-AFBE-8CC25DBB3841}">
      <dsp:nvSpPr>
        <dsp:cNvPr id="0" name=""/>
        <dsp:cNvSpPr/>
      </dsp:nvSpPr>
      <dsp:spPr>
        <a:xfrm>
          <a:off x="267657" y="1040864"/>
          <a:ext cx="534176" cy="534176"/>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3F1F27-A34C-4A3C-B6AE-EEC9BBB1E046}">
      <dsp:nvSpPr>
        <dsp:cNvPr id="0" name=""/>
        <dsp:cNvSpPr/>
      </dsp:nvSpPr>
      <dsp:spPr>
        <a:xfrm>
          <a:off x="569" y="1137016"/>
          <a:ext cx="1068353" cy="3418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PE" sz="1000" kern="1200">
              <a:solidFill>
                <a:sysClr val="windowText" lastClr="000000"/>
              </a:solidFill>
              <a:latin typeface="Times New Roman" panose="02020603050405020304" pitchFamily="18" charset="0"/>
              <a:ea typeface="+mn-ea"/>
              <a:cs typeface="Times New Roman" panose="02020603050405020304" pitchFamily="18" charset="0"/>
            </a:rPr>
            <a:t>Francisco Eguiguren Praeli</a:t>
          </a:r>
          <a:endParaRPr lang="es-PE"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69" y="1137016"/>
        <a:ext cx="1068353" cy="341873"/>
      </dsp:txXfrm>
    </dsp:sp>
    <dsp:sp modelId="{2A83207E-6474-470A-97E5-A42AB06B0974}">
      <dsp:nvSpPr>
        <dsp:cNvPr id="0" name=""/>
        <dsp:cNvSpPr/>
      </dsp:nvSpPr>
      <dsp:spPr>
        <a:xfrm>
          <a:off x="1560365" y="1040864"/>
          <a:ext cx="534176" cy="534176"/>
        </a:xfrm>
        <a:prstGeom prst="arc">
          <a:avLst>
            <a:gd name="adj1" fmla="val 13200000"/>
            <a:gd name="adj2" fmla="val 192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97C667-E0BD-46BC-8513-AC3002050E01}">
      <dsp:nvSpPr>
        <dsp:cNvPr id="0" name=""/>
        <dsp:cNvSpPr/>
      </dsp:nvSpPr>
      <dsp:spPr>
        <a:xfrm>
          <a:off x="1560365" y="1040864"/>
          <a:ext cx="534176" cy="534176"/>
        </a:xfrm>
        <a:prstGeom prst="arc">
          <a:avLst>
            <a:gd name="adj1" fmla="val 2400000"/>
            <a:gd name="adj2" fmla="val 8400000"/>
          </a:avLst>
        </a:pr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291B5A-3BD0-4CDA-9241-9F78C98E4A59}">
      <dsp:nvSpPr>
        <dsp:cNvPr id="0" name=""/>
        <dsp:cNvSpPr/>
      </dsp:nvSpPr>
      <dsp:spPr>
        <a:xfrm>
          <a:off x="1293277" y="1137016"/>
          <a:ext cx="1068353" cy="34187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PE" sz="1000" kern="1200">
              <a:solidFill>
                <a:sysClr val="windowText" lastClr="000000"/>
              </a:solidFill>
              <a:latin typeface="Times New Roman" panose="02020603050405020304" pitchFamily="18" charset="0"/>
              <a:ea typeface="+mn-ea"/>
              <a:cs typeface="Times New Roman" panose="02020603050405020304" pitchFamily="18" charset="0"/>
            </a:rPr>
            <a:t>Birdart Campos</a:t>
          </a:r>
          <a:endParaRPr lang="es-PE"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293277" y="1137016"/>
        <a:ext cx="1068353" cy="34187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C77787-B072-4AE2-ADE7-67C879250974}">
      <dsp:nvSpPr>
        <dsp:cNvPr id="0" name=""/>
        <dsp:cNvSpPr/>
      </dsp:nvSpPr>
      <dsp:spPr>
        <a:xfrm>
          <a:off x="208433" y="2004"/>
          <a:ext cx="2116782" cy="529195"/>
        </a:xfrm>
        <a:prstGeom prst="roundRect">
          <a:avLst>
            <a:gd name="adj" fmla="val 10000"/>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PE" sz="900" b="1" kern="1200">
              <a:solidFill>
                <a:sysClr val="window" lastClr="FFFFFF"/>
              </a:solidFill>
              <a:latin typeface="Times New Roman" panose="02020603050405020304" pitchFamily="18" charset="0"/>
              <a:ea typeface="+mn-ea"/>
              <a:cs typeface="Times New Roman" panose="02020603050405020304" pitchFamily="18" charset="0"/>
            </a:rPr>
            <a:t>ASPECTOS QUE DEBE CONTEMPLAR UNA MODIFICATORIA LEGISLATIVA</a:t>
          </a:r>
        </a:p>
      </dsp:txBody>
      <dsp:txXfrm>
        <a:off x="223933" y="17504"/>
        <a:ext cx="2085782" cy="498195"/>
      </dsp:txXfrm>
    </dsp:sp>
    <dsp:sp modelId="{84045E43-5A67-4CAB-8EEC-08AF2A746F74}">
      <dsp:nvSpPr>
        <dsp:cNvPr id="0" name=""/>
        <dsp:cNvSpPr/>
      </dsp:nvSpPr>
      <dsp:spPr>
        <a:xfrm rot="5400000">
          <a:off x="1220520" y="577504"/>
          <a:ext cx="92609" cy="92609"/>
        </a:xfrm>
        <a:prstGeom prst="rightArrow">
          <a:avLst>
            <a:gd name="adj1" fmla="val 667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6B2610B-9836-479F-989F-71F7B818806D}">
      <dsp:nvSpPr>
        <dsp:cNvPr id="0" name=""/>
        <dsp:cNvSpPr/>
      </dsp:nvSpPr>
      <dsp:spPr>
        <a:xfrm>
          <a:off x="208433" y="716418"/>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conductas que generan incapacidad moral a los funcionarios</a:t>
          </a:r>
        </a:p>
      </dsp:txBody>
      <dsp:txXfrm>
        <a:off x="223933" y="731918"/>
        <a:ext cx="2085782" cy="498195"/>
      </dsp:txXfrm>
    </dsp:sp>
    <dsp:sp modelId="{4B0AA7A4-6B24-4D58-99C2-BF604090C54F}">
      <dsp:nvSpPr>
        <dsp:cNvPr id="0" name=""/>
        <dsp:cNvSpPr/>
      </dsp:nvSpPr>
      <dsp:spPr>
        <a:xfrm rot="5400000">
          <a:off x="1220520" y="1291918"/>
          <a:ext cx="92609" cy="92609"/>
        </a:xfrm>
        <a:prstGeom prst="rightArrow">
          <a:avLst>
            <a:gd name="adj1" fmla="val 667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86A579-6C43-4FDF-8D1E-8EE1F828A509}">
      <dsp:nvSpPr>
        <dsp:cNvPr id="0" name=""/>
        <dsp:cNvSpPr/>
      </dsp:nvSpPr>
      <dsp:spPr>
        <a:xfrm>
          <a:off x="208433" y="1430832"/>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que conducta  genera responsabilidad politica.</a:t>
          </a:r>
        </a:p>
      </dsp:txBody>
      <dsp:txXfrm>
        <a:off x="223933" y="1446332"/>
        <a:ext cx="2085782" cy="498195"/>
      </dsp:txXfrm>
    </dsp:sp>
    <dsp:sp modelId="{962D1F48-F451-4381-974F-DAB52975B805}">
      <dsp:nvSpPr>
        <dsp:cNvPr id="0" name=""/>
        <dsp:cNvSpPr/>
      </dsp:nvSpPr>
      <dsp:spPr>
        <a:xfrm rot="5400000">
          <a:off x="1220520" y="2006332"/>
          <a:ext cx="92609" cy="92609"/>
        </a:xfrm>
        <a:prstGeom prst="rightArrow">
          <a:avLst>
            <a:gd name="adj1" fmla="val 667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F9DAAF6-7295-404C-9879-D00ED9AD8F82}">
      <dsp:nvSpPr>
        <dsp:cNvPr id="0" name=""/>
        <dsp:cNvSpPr/>
      </dsp:nvSpPr>
      <dsp:spPr>
        <a:xfrm>
          <a:off x="208433" y="2145246"/>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las causales de infracciones constitucionales</a:t>
          </a:r>
        </a:p>
      </dsp:txBody>
      <dsp:txXfrm>
        <a:off x="223933" y="2160746"/>
        <a:ext cx="2085782" cy="498195"/>
      </dsp:txXfrm>
    </dsp:sp>
    <dsp:sp modelId="{1633DEA2-77DE-40C0-91F9-D31B762A17A3}">
      <dsp:nvSpPr>
        <dsp:cNvPr id="0" name=""/>
        <dsp:cNvSpPr/>
      </dsp:nvSpPr>
      <dsp:spPr>
        <a:xfrm rot="5400000">
          <a:off x="1220520" y="2720746"/>
          <a:ext cx="92609" cy="92609"/>
        </a:xfrm>
        <a:prstGeom prst="rightArrow">
          <a:avLst>
            <a:gd name="adj1" fmla="val 667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0458B57-D5A0-4B1C-9B41-FC4D9D410CF6}">
      <dsp:nvSpPr>
        <dsp:cNvPr id="0" name=""/>
        <dsp:cNvSpPr/>
      </dsp:nvSpPr>
      <dsp:spPr>
        <a:xfrm>
          <a:off x="208433" y="2859660"/>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los delitos de infracción al deber</a:t>
          </a:r>
        </a:p>
      </dsp:txBody>
      <dsp:txXfrm>
        <a:off x="223933" y="2875160"/>
        <a:ext cx="2085782" cy="498195"/>
      </dsp:txXfrm>
    </dsp:sp>
    <dsp:sp modelId="{1850275E-CB1C-429B-8DDD-B630B3250A16}">
      <dsp:nvSpPr>
        <dsp:cNvPr id="0" name=""/>
        <dsp:cNvSpPr/>
      </dsp:nvSpPr>
      <dsp:spPr>
        <a:xfrm rot="5400000">
          <a:off x="1220520" y="3435161"/>
          <a:ext cx="92609" cy="92609"/>
        </a:xfrm>
        <a:prstGeom prst="rightArrow">
          <a:avLst>
            <a:gd name="adj1" fmla="val 66700"/>
            <a:gd name="adj2" fmla="val 50000"/>
          </a:avLst>
        </a:prstGeom>
        <a:solidFill>
          <a:srgbClr val="44546A">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22E1B25-B787-4183-9E34-2B9746FD2C74}">
      <dsp:nvSpPr>
        <dsp:cNvPr id="0" name=""/>
        <dsp:cNvSpPr/>
      </dsp:nvSpPr>
      <dsp:spPr>
        <a:xfrm>
          <a:off x="208433" y="3574074"/>
          <a:ext cx="2116782" cy="529195"/>
        </a:xfrm>
        <a:prstGeom prst="roundRect">
          <a:avLst>
            <a:gd name="adj" fmla="val 10000"/>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Establecer un plazo de investigación de la infracción constitucional</a:t>
          </a:r>
          <a:r>
            <a:rPr lang="es-PE" sz="1100" kern="1200">
              <a:solidFill>
                <a:sysClr val="windowText" lastClr="000000">
                  <a:hueOff val="0"/>
                  <a:satOff val="0"/>
                  <a:lumOff val="0"/>
                  <a:alphaOff val="0"/>
                </a:sysClr>
              </a:solidFill>
              <a:latin typeface="Calibri" panose="020F0502020204030204"/>
              <a:ea typeface="+mn-ea"/>
              <a:cs typeface="+mn-cs"/>
            </a:rPr>
            <a:t>.</a:t>
          </a:r>
        </a:p>
      </dsp:txBody>
      <dsp:txXfrm>
        <a:off x="223933" y="3589574"/>
        <a:ext cx="2085782" cy="4981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21131-9C3E-48F8-95D8-F1A92A42048A}">
      <dsp:nvSpPr>
        <dsp:cNvPr id="0" name=""/>
        <dsp:cNvSpPr/>
      </dsp:nvSpPr>
      <dsp:spPr>
        <a:xfrm>
          <a:off x="0" y="0"/>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a un tribunal independinete imparcial</a:t>
          </a:r>
        </a:p>
      </dsp:txBody>
      <dsp:txXfrm>
        <a:off x="11550" y="11550"/>
        <a:ext cx="1207887" cy="371235"/>
      </dsp:txXfrm>
    </dsp:sp>
    <dsp:sp modelId="{E55E16B3-D2BE-4600-8A0F-EEBC9DA9A78F}">
      <dsp:nvSpPr>
        <dsp:cNvPr id="0" name=""/>
        <dsp:cNvSpPr/>
      </dsp:nvSpPr>
      <dsp:spPr>
        <a:xfrm>
          <a:off x="125420" y="449103"/>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de defensa</a:t>
          </a:r>
        </a:p>
      </dsp:txBody>
      <dsp:txXfrm>
        <a:off x="136970" y="460653"/>
        <a:ext cx="1274705" cy="371235"/>
      </dsp:txXfrm>
    </dsp:sp>
    <dsp:sp modelId="{399F7F3B-081C-4DA5-86C9-91A4154CB08E}">
      <dsp:nvSpPr>
        <dsp:cNvPr id="0" name=""/>
        <dsp:cNvSpPr/>
      </dsp:nvSpPr>
      <dsp:spPr>
        <a:xfrm>
          <a:off x="250840" y="898207"/>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a un debido procedimiento</a:t>
          </a:r>
        </a:p>
      </dsp:txBody>
      <dsp:txXfrm>
        <a:off x="262390" y="909757"/>
        <a:ext cx="1274705" cy="371235"/>
      </dsp:txXfrm>
    </dsp:sp>
    <dsp:sp modelId="{36163C14-21D9-472C-A182-0073D7A7A77F}">
      <dsp:nvSpPr>
        <dsp:cNvPr id="0" name=""/>
        <dsp:cNvSpPr/>
      </dsp:nvSpPr>
      <dsp:spPr>
        <a:xfrm>
          <a:off x="376261" y="1347311"/>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a una sentencia motivada</a:t>
          </a:r>
        </a:p>
      </dsp:txBody>
      <dsp:txXfrm>
        <a:off x="387811" y="1358861"/>
        <a:ext cx="1274705" cy="371235"/>
      </dsp:txXfrm>
    </dsp:sp>
    <dsp:sp modelId="{9E22C947-A196-402A-A2E1-015719BFEB40}">
      <dsp:nvSpPr>
        <dsp:cNvPr id="0" name=""/>
        <dsp:cNvSpPr/>
      </dsp:nvSpPr>
      <dsp:spPr>
        <a:xfrm>
          <a:off x="501681" y="1796415"/>
          <a:ext cx="1679543" cy="39433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s-PE"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Derecho a una racionabilidad y proporcionalidad </a:t>
          </a:r>
        </a:p>
      </dsp:txBody>
      <dsp:txXfrm>
        <a:off x="513231" y="1807965"/>
        <a:ext cx="1274705" cy="371235"/>
      </dsp:txXfrm>
    </dsp:sp>
    <dsp:sp modelId="{D1861F24-AEFA-4EC0-918E-BA4E3C754DED}">
      <dsp:nvSpPr>
        <dsp:cNvPr id="0" name=""/>
        <dsp:cNvSpPr/>
      </dsp:nvSpPr>
      <dsp:spPr>
        <a:xfrm>
          <a:off x="1423225" y="288083"/>
          <a:ext cx="256317" cy="256317"/>
        </a:xfrm>
        <a:prstGeom prst="downArrow">
          <a:avLst>
            <a:gd name="adj1" fmla="val 55000"/>
            <a:gd name="adj2" fmla="val 45000"/>
          </a:avLst>
        </a:prstGeom>
        <a:solidFill>
          <a:sysClr val="windowText" lastClr="000000">
            <a:lumMod val="50000"/>
            <a:lumOff val="50000"/>
            <a:alpha val="9000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s-PE" sz="1100" kern="1200">
            <a:solidFill>
              <a:sysClr val="windowText" lastClr="000000">
                <a:hueOff val="0"/>
                <a:satOff val="0"/>
                <a:lumOff val="0"/>
                <a:alphaOff val="0"/>
              </a:sysClr>
            </a:solidFill>
            <a:latin typeface="Calibri" panose="020F0502020204030204"/>
            <a:ea typeface="+mn-ea"/>
            <a:cs typeface="+mn-cs"/>
          </a:endParaRPr>
        </a:p>
      </dsp:txBody>
      <dsp:txXfrm>
        <a:off x="1480896" y="288083"/>
        <a:ext cx="140975" cy="192879"/>
      </dsp:txXfrm>
    </dsp:sp>
    <dsp:sp modelId="{6B3DD16A-C5C4-48D4-A1B5-CAD29FEFB83B}">
      <dsp:nvSpPr>
        <dsp:cNvPr id="0" name=""/>
        <dsp:cNvSpPr/>
      </dsp:nvSpPr>
      <dsp:spPr>
        <a:xfrm>
          <a:off x="1548645" y="737187"/>
          <a:ext cx="256317" cy="256317"/>
        </a:xfrm>
        <a:prstGeom prst="downArrow">
          <a:avLst>
            <a:gd name="adj1" fmla="val 55000"/>
            <a:gd name="adj2" fmla="val 45000"/>
          </a:avLst>
        </a:prstGeom>
        <a:solidFill>
          <a:sysClr val="windowText" lastClr="000000">
            <a:lumMod val="50000"/>
            <a:lumOff val="50000"/>
            <a:alpha val="9000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s-PE" sz="1100" kern="1200">
            <a:solidFill>
              <a:sysClr val="windowText" lastClr="000000">
                <a:hueOff val="0"/>
                <a:satOff val="0"/>
                <a:lumOff val="0"/>
                <a:alphaOff val="0"/>
              </a:sysClr>
            </a:solidFill>
            <a:latin typeface="Calibri" panose="020F0502020204030204"/>
            <a:ea typeface="+mn-ea"/>
            <a:cs typeface="+mn-cs"/>
          </a:endParaRPr>
        </a:p>
      </dsp:txBody>
      <dsp:txXfrm>
        <a:off x="1606316" y="737187"/>
        <a:ext cx="140975" cy="192879"/>
      </dsp:txXfrm>
    </dsp:sp>
    <dsp:sp modelId="{CCF58B9C-B01E-4281-8C4E-069EF769DCD4}">
      <dsp:nvSpPr>
        <dsp:cNvPr id="0" name=""/>
        <dsp:cNvSpPr/>
      </dsp:nvSpPr>
      <dsp:spPr>
        <a:xfrm>
          <a:off x="1674066" y="1179718"/>
          <a:ext cx="256317" cy="256317"/>
        </a:xfrm>
        <a:prstGeom prst="downArrow">
          <a:avLst>
            <a:gd name="adj1" fmla="val 55000"/>
            <a:gd name="adj2" fmla="val 45000"/>
          </a:avLst>
        </a:prstGeom>
        <a:solidFill>
          <a:sysClr val="windowText" lastClr="000000">
            <a:lumMod val="50000"/>
            <a:lumOff val="50000"/>
            <a:alpha val="9000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s-PE" sz="1100" kern="1200">
            <a:solidFill>
              <a:sysClr val="windowText" lastClr="000000">
                <a:hueOff val="0"/>
                <a:satOff val="0"/>
                <a:lumOff val="0"/>
                <a:alphaOff val="0"/>
              </a:sysClr>
            </a:solidFill>
            <a:latin typeface="Calibri" panose="020F0502020204030204"/>
            <a:ea typeface="+mn-ea"/>
            <a:cs typeface="+mn-cs"/>
          </a:endParaRPr>
        </a:p>
      </dsp:txBody>
      <dsp:txXfrm>
        <a:off x="1731737" y="1179718"/>
        <a:ext cx="140975" cy="192879"/>
      </dsp:txXfrm>
    </dsp:sp>
    <dsp:sp modelId="{07E00839-83F3-46DB-9662-C97814322BE0}">
      <dsp:nvSpPr>
        <dsp:cNvPr id="0" name=""/>
        <dsp:cNvSpPr/>
      </dsp:nvSpPr>
      <dsp:spPr>
        <a:xfrm>
          <a:off x="1799486" y="1633204"/>
          <a:ext cx="256317" cy="256317"/>
        </a:xfrm>
        <a:prstGeom prst="downArrow">
          <a:avLst>
            <a:gd name="adj1" fmla="val 55000"/>
            <a:gd name="adj2" fmla="val 45000"/>
          </a:avLst>
        </a:prstGeom>
        <a:solidFill>
          <a:sysClr val="windowText" lastClr="000000">
            <a:lumMod val="50000"/>
            <a:lumOff val="50000"/>
            <a:alpha val="9000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endParaRPr lang="es-PE" sz="1100" kern="1200">
            <a:solidFill>
              <a:sysClr val="windowText" lastClr="000000">
                <a:hueOff val="0"/>
                <a:satOff val="0"/>
                <a:lumOff val="0"/>
                <a:alphaOff val="0"/>
              </a:sysClr>
            </a:solidFill>
            <a:latin typeface="Calibri" panose="020F0502020204030204"/>
            <a:ea typeface="+mn-ea"/>
            <a:cs typeface="+mn-cs"/>
          </a:endParaRPr>
        </a:p>
      </dsp:txBody>
      <dsp:txXfrm>
        <a:off x="1857157" y="1633204"/>
        <a:ext cx="140975" cy="192879"/>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ORT03</b:Tag>
    <b:SourceType>Book</b:SourceType>
    <b:Guid>{CC0C3C56-7FD8-456B-879A-89000622F0B3}</b:Guid>
    <b:Title>Estado y Ejercicio Constitucional</b:Title>
    <b:Year>2003</b:Year>
    <b:City>Lima</b:City>
    <b:Publisher>Marsol Perú Editores S.A.</b:Publisher>
    <b:Author>
      <b:Author>
        <b:NameList>
          <b:Person>
            <b:Last>ORTECHO VILLENA</b:Last>
            <b:First>Víctor</b:First>
          </b:Person>
        </b:NameList>
      </b:Author>
    </b:Author>
    <b:RefOrder>1</b:RefOrder>
  </b:Source>
  <b:Source>
    <b:Tag>CHI07</b:Tag>
    <b:SourceType>Book</b:SourceType>
    <b:Guid>{E5F55710-C7C1-4E97-AAAB-CDCD258C7001}</b:Guid>
    <b:Title>La Constitución: Lectura y comentario</b:Title>
    <b:Year>2007</b:Year>
    <b:City>Lima</b:City>
    <b:Publisher>Editorial Rodhas SAC</b:Publisher>
    <b:Author>
      <b:Author>
        <b:NameList>
          <b:Person>
            <b:Last>Chrinos Soto</b:Last>
            <b:First>Enrique</b:First>
          </b:Person>
          <b:Person>
            <b:Last>Chirinos Soto</b:Last>
            <b:First>Francisco</b:First>
          </b:Person>
        </b:NameList>
      </b:Author>
    </b:Author>
    <b:RefOrder>2</b:RefOrder>
  </b:Source>
  <b:Source>
    <b:Tag>GAR08</b:Tag>
    <b:SourceType>Book</b:SourceType>
    <b:Guid>{A098073E-2DBF-4926-8748-83EF5E4AD725}</b:Guid>
    <b:Title>Acusación Constitucional y Debido Proceso</b:Title>
    <b:Year>2008</b:Year>
    <b:City>Lima</b:City>
    <b:Publisher>Jurista Editores</b:Publisher>
    <b:Author>
      <b:Author>
        <b:NameList>
          <b:Person>
            <b:Last>García Chávarri</b:Last>
            <b:First>Abraham</b:First>
          </b:Person>
        </b:NameList>
      </b:Author>
    </b:Author>
    <b:RefOrder>3</b:RefOrder>
  </b:Source>
  <b:Source>
    <b:Tag>PUL15</b:Tag>
    <b:SourceType>JournalArticle</b:SourceType>
    <b:Guid>{CF49B787-3C0F-4999-8B9E-5FE0A5DBBAE4}</b:Guid>
    <b:Title>Ceremonial y Protocolo: métodos y técnicas de investigación científica</b:Title>
    <b:Year>2015</b:Year>
    <b:Author>
      <b:Author>
        <b:NameList>
          <b:Person>
            <b:Last>Pulido Polo</b:Last>
            <b:First>Marta</b:First>
          </b:Person>
        </b:NameList>
      </b:Author>
    </b:Author>
    <b:JournalName>Redalyc.org</b:JournalName>
    <b:Pages>1137-1156</b:Pages>
    <b:YearAccessed>2019</b:YearAccessed>
    <b:MonthAccessed>Julio</b:MonthAccessed>
    <b:DayAccessed>24</b:DayAccessed>
    <b:URL>&lt;https://www.redalyc.org/pdf/310/31043005061.pdf&gt;</b:URL>
    <b:RefOrder>4</b:RefOrder>
  </b:Source>
  <b:Source>
    <b:Tag>CHÁ08</b:Tag>
    <b:SourceType>DocumentFromInternetSite</b:SourceType>
    <b:Guid>{EC2F5163-7889-437B-95B7-6F8FB6A39442}</b:Guid>
    <b:Title>Conceptos y técnicas de Recolección de Datos en la Investigación Jurídico Social</b:Title>
    <b:Year>2008</b:Year>
    <b:URL>&lt;https://www.unifr.ch/ddp1/derechopenal/articulos/a_20080521_56.pdf&gt;</b:URL>
    <b:Author>
      <b:Author>
        <b:NameList>
          <b:Person>
            <b:Last>Chávez</b:Last>
            <b:First>Dennis</b:First>
          </b:Person>
        </b:NameList>
      </b:Author>
    </b:Author>
    <b:YearAccessed>2019</b:YearAccessed>
    <b:MonthAccessed>Julio</b:MonthAccessed>
    <b:DayAccessed>25</b:DayAccessed>
    <b:RefOrder>5</b:RefOrder>
  </b:Source>
</b:Sources>
</file>

<file path=customXml/itemProps1.xml><?xml version="1.0" encoding="utf-8"?>
<ds:datastoreItem xmlns:ds="http://schemas.openxmlformats.org/officeDocument/2006/customXml" ds:itemID="{D7660B5D-4176-4A5A-9DB5-DBFABC3D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4780</Words>
  <Characters>26293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dcterms:created xsi:type="dcterms:W3CDTF">2021-10-13T16:07:00Z</dcterms:created>
  <dcterms:modified xsi:type="dcterms:W3CDTF">2021-10-13T16:07:00Z</dcterms:modified>
</cp:coreProperties>
</file>