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4AEB" w14:textId="6272ABEF" w:rsidR="00592B18" w:rsidRPr="00900A4E" w:rsidRDefault="00900A4E" w:rsidP="006D3BC4">
      <w:pPr>
        <w:autoSpaceDE w:val="0"/>
        <w:autoSpaceDN w:val="0"/>
        <w:adjustRightInd w:val="0"/>
        <w:spacing w:after="0" w:line="360" w:lineRule="auto"/>
        <w:jc w:val="center"/>
        <w:rPr>
          <w:rFonts w:ascii="Times New Roman" w:hAnsi="Times New Roman" w:cs="Times New Roman"/>
          <w:b/>
          <w:sz w:val="24"/>
          <w:szCs w:val="24"/>
        </w:rPr>
      </w:pPr>
      <w:bookmarkStart w:id="0" w:name="_Hlk107603987"/>
      <w:r w:rsidRPr="00900A4E">
        <w:rPr>
          <w:rFonts w:ascii="Times New Roman" w:hAnsi="Times New Roman" w:cs="Times New Roman"/>
          <w:b/>
          <w:sz w:val="24"/>
          <w:szCs w:val="24"/>
        </w:rPr>
        <w:t xml:space="preserve">PRINCIPIOS DE DESARROLLO SOSTENIBLE COMO HERRAMIENTA PARA LOS CENTROS MINEROS ARTESANALES Y SU RELACIÓN CON LAS POLÍTICAS DE DESARROLLO SOSTENIBLE EN LA MINERÍA PERUANA </w:t>
      </w:r>
      <w:bookmarkEnd w:id="0"/>
      <w:r w:rsidR="000E330D" w:rsidRPr="000E330D">
        <w:rPr>
          <w:rFonts w:ascii="Times New Roman" w:hAnsi="Times New Roman" w:cs="Times New Roman"/>
          <w:b/>
          <w:sz w:val="24"/>
          <w:szCs w:val="24"/>
          <w:lang w:val="en-US"/>
        </w:rPr>
        <w:t>S</w:t>
      </w:r>
      <w:r w:rsidRPr="000E330D">
        <w:rPr>
          <w:rFonts w:ascii="Times New Roman" w:hAnsi="Times New Roman" w:cs="Times New Roman"/>
          <w:b/>
          <w:sz w:val="24"/>
          <w:szCs w:val="24"/>
          <w:lang w:val="en-US"/>
        </w:rPr>
        <w:t>ustainable development principles as a tool for artisan mining centers and its relationship with sustainable development policies in Peruvian mining</w:t>
      </w:r>
    </w:p>
    <w:p w14:paraId="36089BDA" w14:textId="77777777" w:rsidR="00A14667" w:rsidRPr="007F3901" w:rsidRDefault="00A14667" w:rsidP="006D3BC4">
      <w:pPr>
        <w:autoSpaceDE w:val="0"/>
        <w:autoSpaceDN w:val="0"/>
        <w:adjustRightInd w:val="0"/>
        <w:spacing w:after="0" w:line="360" w:lineRule="auto"/>
        <w:jc w:val="center"/>
        <w:rPr>
          <w:rFonts w:ascii="Times New Roman" w:hAnsi="Times New Roman" w:cs="Times New Roman"/>
          <w:b/>
          <w:sz w:val="24"/>
          <w:szCs w:val="24"/>
        </w:rPr>
      </w:pPr>
    </w:p>
    <w:p w14:paraId="248E16E3" w14:textId="7A10B93C" w:rsidR="00900A4E" w:rsidRDefault="00900A4E" w:rsidP="006D3BC4">
      <w:pPr>
        <w:autoSpaceDE w:val="0"/>
        <w:autoSpaceDN w:val="0"/>
        <w:adjustRightInd w:val="0"/>
        <w:spacing w:after="0" w:line="360" w:lineRule="auto"/>
        <w:jc w:val="center"/>
        <w:rPr>
          <w:rFonts w:ascii="Times New Roman" w:eastAsia="Times New Roman" w:hAnsi="Times New Roman" w:cs="Times New Roman"/>
          <w:b/>
          <w:iCs/>
          <w:sz w:val="24"/>
          <w:szCs w:val="24"/>
          <w:lang w:val="es-MX"/>
        </w:rPr>
      </w:pPr>
      <w:r w:rsidRPr="00900A4E">
        <w:rPr>
          <w:rFonts w:ascii="Times New Roman" w:eastAsia="Times New Roman" w:hAnsi="Times New Roman" w:cs="Times New Roman"/>
          <w:b/>
          <w:iCs/>
          <w:sz w:val="24"/>
          <w:szCs w:val="24"/>
          <w:lang w:val="es-MX"/>
        </w:rPr>
        <w:t>Luna</w:t>
      </w:r>
      <w:r>
        <w:rPr>
          <w:rFonts w:ascii="Times New Roman" w:eastAsia="Times New Roman" w:hAnsi="Times New Roman" w:cs="Times New Roman"/>
          <w:b/>
          <w:iCs/>
          <w:sz w:val="24"/>
          <w:szCs w:val="24"/>
          <w:lang w:val="es-MX"/>
        </w:rPr>
        <w:t>-</w:t>
      </w:r>
      <w:r w:rsidRPr="00900A4E">
        <w:rPr>
          <w:rFonts w:ascii="Times New Roman" w:eastAsia="Times New Roman" w:hAnsi="Times New Roman" w:cs="Times New Roman"/>
          <w:b/>
          <w:iCs/>
          <w:sz w:val="24"/>
          <w:szCs w:val="24"/>
          <w:lang w:val="es-MX"/>
        </w:rPr>
        <w:t xml:space="preserve"> Córdova</w:t>
      </w:r>
      <w:r w:rsidRPr="00900A4E">
        <w:rPr>
          <w:rFonts w:ascii="Times New Roman" w:eastAsia="Times New Roman" w:hAnsi="Times New Roman" w:cs="Times New Roman"/>
          <w:b/>
          <w:iCs/>
          <w:sz w:val="24"/>
          <w:szCs w:val="24"/>
          <w:lang w:val="es-MX"/>
        </w:rPr>
        <w:t xml:space="preserve"> </w:t>
      </w:r>
    </w:p>
    <w:p w14:paraId="566DBA39" w14:textId="661DE95A" w:rsidR="009E0DC6" w:rsidRPr="007F3901" w:rsidRDefault="009E0DC6" w:rsidP="006D3BC4">
      <w:pPr>
        <w:autoSpaceDE w:val="0"/>
        <w:autoSpaceDN w:val="0"/>
        <w:adjustRightInd w:val="0"/>
        <w:spacing w:after="0" w:line="360" w:lineRule="auto"/>
        <w:jc w:val="center"/>
        <w:rPr>
          <w:rFonts w:ascii="Times New Roman" w:hAnsi="Times New Roman" w:cs="Times New Roman"/>
          <w:b/>
          <w:sz w:val="24"/>
          <w:szCs w:val="24"/>
        </w:rPr>
      </w:pPr>
      <w:r w:rsidRPr="007F3901">
        <w:rPr>
          <w:rFonts w:ascii="Times New Roman" w:hAnsi="Times New Roman" w:cs="Times New Roman"/>
          <w:b/>
          <w:sz w:val="24"/>
          <w:szCs w:val="24"/>
        </w:rPr>
        <w:t>Universidad Nacional Federico Villarreal</w:t>
      </w:r>
    </w:p>
    <w:p w14:paraId="1C97938D" w14:textId="77777777" w:rsidR="00592B18" w:rsidRPr="007F3901" w:rsidRDefault="00592B18" w:rsidP="006D3BC4">
      <w:pPr>
        <w:autoSpaceDE w:val="0"/>
        <w:autoSpaceDN w:val="0"/>
        <w:adjustRightInd w:val="0"/>
        <w:spacing w:after="0" w:line="360" w:lineRule="auto"/>
        <w:jc w:val="center"/>
        <w:rPr>
          <w:rFonts w:ascii="Times New Roman" w:hAnsi="Times New Roman" w:cs="Times New Roman"/>
          <w:sz w:val="24"/>
          <w:szCs w:val="24"/>
        </w:rPr>
      </w:pPr>
    </w:p>
    <w:p w14:paraId="3C3218D6" w14:textId="77777777" w:rsidR="00A95271" w:rsidRPr="007F3901" w:rsidRDefault="00A95271" w:rsidP="006D3BC4">
      <w:pPr>
        <w:autoSpaceDE w:val="0"/>
        <w:autoSpaceDN w:val="0"/>
        <w:adjustRightInd w:val="0"/>
        <w:spacing w:after="0" w:line="360" w:lineRule="auto"/>
        <w:jc w:val="center"/>
        <w:rPr>
          <w:rFonts w:ascii="Times New Roman" w:hAnsi="Times New Roman" w:cs="Times New Roman"/>
          <w:b/>
          <w:sz w:val="24"/>
          <w:szCs w:val="24"/>
        </w:rPr>
      </w:pPr>
    </w:p>
    <w:p w14:paraId="44409EA2" w14:textId="77777777" w:rsidR="00734B5C" w:rsidRPr="007F3901" w:rsidRDefault="00734B5C" w:rsidP="006D3BC4">
      <w:pPr>
        <w:autoSpaceDE w:val="0"/>
        <w:autoSpaceDN w:val="0"/>
        <w:adjustRightInd w:val="0"/>
        <w:spacing w:after="0" w:line="360" w:lineRule="auto"/>
        <w:jc w:val="both"/>
        <w:rPr>
          <w:rFonts w:ascii="Times New Roman" w:hAnsi="Times New Roman" w:cs="Times New Roman"/>
          <w:b/>
          <w:sz w:val="24"/>
          <w:szCs w:val="24"/>
        </w:rPr>
      </w:pPr>
      <w:r w:rsidRPr="007F3901">
        <w:rPr>
          <w:rFonts w:ascii="Times New Roman" w:hAnsi="Times New Roman" w:cs="Times New Roman"/>
          <w:b/>
          <w:sz w:val="24"/>
          <w:szCs w:val="24"/>
        </w:rPr>
        <w:t>RESUMEN</w:t>
      </w:r>
    </w:p>
    <w:p w14:paraId="7D1A1A50" w14:textId="1378E5B7" w:rsidR="00900A4E" w:rsidRPr="00900A4E" w:rsidRDefault="00A1117E" w:rsidP="00900A4E">
      <w:pPr>
        <w:spacing w:after="0" w:line="480" w:lineRule="auto"/>
        <w:jc w:val="both"/>
        <w:rPr>
          <w:rFonts w:ascii="Times New Roman" w:hAnsi="Times New Roman" w:cs="Times New Roman"/>
          <w:sz w:val="24"/>
          <w:szCs w:val="24"/>
        </w:rPr>
      </w:pPr>
      <w:bookmarkStart w:id="1" w:name="_Toc463205911"/>
      <w:bookmarkStart w:id="2" w:name="_Toc463361764"/>
      <w:r w:rsidRPr="007F3901">
        <w:rPr>
          <w:rFonts w:ascii="Times New Roman" w:hAnsi="Times New Roman" w:cs="Times New Roman"/>
          <w:sz w:val="24"/>
          <w:szCs w:val="24"/>
        </w:rPr>
        <w:t>La investigación</w:t>
      </w:r>
      <w:r w:rsidR="00A14667" w:rsidRPr="007F3901">
        <w:rPr>
          <w:rFonts w:ascii="Times New Roman" w:hAnsi="Times New Roman" w:cs="Times New Roman"/>
          <w:sz w:val="24"/>
          <w:szCs w:val="24"/>
        </w:rPr>
        <w:t xml:space="preserve"> tuvo </w:t>
      </w:r>
      <w:r w:rsidR="00900A4E" w:rsidRPr="00900A4E">
        <w:rPr>
          <w:rFonts w:ascii="Times New Roman" w:hAnsi="Times New Roman" w:cs="Times New Roman"/>
          <w:sz w:val="24"/>
          <w:szCs w:val="24"/>
        </w:rPr>
        <w:t xml:space="preserve">como objetivo determinar si los principios de desarrollo sostenible como herramienta para los Centros Mineros Artesanales (CMA) se relacionarán con las políticas de desarrollo sostenible en la minería peruana, puesto que su conocimiento es sumamente importante ya que lo que se busca es generar consciencia sobre el desarrollo sostenible y conocer si las personas que laboran en las minas tienen conocimientos de estos temas. La metodología utilizada en la investigación es de tipo aplicada, diseño no experimental y corte transversal. Para medir las variables de estudio se empleó como un cuestionario con 10 preguntas. La muestra de estudio estuvo conformada por 100 personas que laboran en las minas. Como conclusión se obtuvo que los principios de desarrollo sostenible como herramienta para los CMA se relacionan con las políticas de desarrollo sostenible en la minería peruana, ya que se obtuvo un coeficiente de correlación Rho de Spearman, que tiene el valor de 0.538** y </w:t>
      </w:r>
      <w:proofErr w:type="gramStart"/>
      <w:r w:rsidR="00900A4E" w:rsidRPr="00900A4E">
        <w:rPr>
          <w:rFonts w:ascii="Times New Roman" w:hAnsi="Times New Roman" w:cs="Times New Roman"/>
          <w:sz w:val="24"/>
          <w:szCs w:val="24"/>
        </w:rPr>
        <w:t>el sigma</w:t>
      </w:r>
      <w:proofErr w:type="gramEnd"/>
      <w:r w:rsidR="00900A4E" w:rsidRPr="00900A4E">
        <w:rPr>
          <w:rFonts w:ascii="Times New Roman" w:hAnsi="Times New Roman" w:cs="Times New Roman"/>
          <w:sz w:val="24"/>
          <w:szCs w:val="24"/>
        </w:rPr>
        <w:t xml:space="preserve"> (bilateral) de 0,004.</w:t>
      </w:r>
    </w:p>
    <w:p w14:paraId="376BB2E8" w14:textId="201159F3" w:rsidR="00900A4E" w:rsidRDefault="00900A4E" w:rsidP="00900A4E">
      <w:pPr>
        <w:spacing w:after="0" w:line="480" w:lineRule="auto"/>
        <w:jc w:val="both"/>
        <w:rPr>
          <w:rFonts w:ascii="Times New Roman" w:hAnsi="Times New Roman" w:cs="Times New Roman"/>
          <w:sz w:val="24"/>
          <w:szCs w:val="24"/>
        </w:rPr>
      </w:pPr>
      <w:r w:rsidRPr="00900A4E">
        <w:rPr>
          <w:rFonts w:ascii="Times New Roman" w:hAnsi="Times New Roman" w:cs="Times New Roman"/>
          <w:b/>
          <w:bCs/>
          <w:i/>
          <w:iCs/>
          <w:sz w:val="24"/>
          <w:szCs w:val="24"/>
        </w:rPr>
        <w:t>Palabras claves:</w:t>
      </w:r>
      <w:r w:rsidRPr="00900A4E">
        <w:rPr>
          <w:rFonts w:ascii="Times New Roman" w:hAnsi="Times New Roman" w:cs="Times New Roman"/>
          <w:sz w:val="24"/>
          <w:szCs w:val="24"/>
        </w:rPr>
        <w:t xml:space="preserve"> mina, desarrollo sostenible, medio ambiente, políticas, CMA.</w:t>
      </w:r>
    </w:p>
    <w:p w14:paraId="54B48928" w14:textId="77777777" w:rsidR="00C60B51" w:rsidRDefault="00C60B51" w:rsidP="00900A4E">
      <w:pPr>
        <w:spacing w:after="0" w:line="480" w:lineRule="auto"/>
        <w:jc w:val="both"/>
        <w:rPr>
          <w:rFonts w:ascii="Times New Roman" w:hAnsi="Times New Roman" w:cs="Times New Roman"/>
          <w:sz w:val="24"/>
          <w:szCs w:val="24"/>
        </w:rPr>
      </w:pPr>
    </w:p>
    <w:p w14:paraId="35BA50F1" w14:textId="32A6788E" w:rsidR="009F3072" w:rsidRPr="00900A4E" w:rsidRDefault="009F3072" w:rsidP="00900A4E">
      <w:pPr>
        <w:spacing w:after="0" w:line="480" w:lineRule="auto"/>
        <w:jc w:val="both"/>
        <w:rPr>
          <w:rFonts w:ascii="Times New Roman" w:hAnsi="Times New Roman" w:cs="Times New Roman"/>
          <w:b/>
          <w:sz w:val="24"/>
          <w:szCs w:val="24"/>
          <w:lang w:val="en-US"/>
        </w:rPr>
      </w:pPr>
      <w:r w:rsidRPr="00900A4E">
        <w:rPr>
          <w:rFonts w:ascii="Times New Roman" w:hAnsi="Times New Roman" w:cs="Times New Roman"/>
          <w:b/>
          <w:sz w:val="24"/>
          <w:szCs w:val="24"/>
          <w:lang w:val="en-US"/>
        </w:rPr>
        <w:t>ABSTRACT</w:t>
      </w:r>
      <w:bookmarkEnd w:id="1"/>
      <w:bookmarkEnd w:id="2"/>
    </w:p>
    <w:p w14:paraId="4D2B4209" w14:textId="1502D4B5" w:rsidR="00900A4E" w:rsidRPr="00900A4E" w:rsidRDefault="00900A4E" w:rsidP="00900A4E">
      <w:pPr>
        <w:spacing w:after="0" w:line="480" w:lineRule="auto"/>
        <w:jc w:val="both"/>
        <w:rPr>
          <w:rFonts w:ascii="Times New Roman" w:eastAsia="Calibri" w:hAnsi="Times New Roman" w:cs="Times New Roman"/>
          <w:sz w:val="24"/>
          <w:szCs w:val="24"/>
          <w:lang w:val="en"/>
        </w:rPr>
      </w:pPr>
      <w:r w:rsidRPr="00900A4E">
        <w:rPr>
          <w:rFonts w:ascii="Times New Roman" w:eastAsia="Calibri" w:hAnsi="Times New Roman" w:cs="Times New Roman"/>
          <w:sz w:val="24"/>
          <w:szCs w:val="24"/>
          <w:lang w:val="en"/>
        </w:rPr>
        <w:t xml:space="preserve">The objective of this research work entitled "Principles of sustainable development as a tool for environmental codes and their relationship with sustainable development policies </w:t>
      </w:r>
      <w:r w:rsidRPr="00900A4E">
        <w:rPr>
          <w:rFonts w:ascii="Times New Roman" w:eastAsia="Calibri" w:hAnsi="Times New Roman" w:cs="Times New Roman"/>
          <w:sz w:val="24"/>
          <w:szCs w:val="24"/>
          <w:lang w:val="en"/>
        </w:rPr>
        <w:lastRenderedPageBreak/>
        <w:t>in Peruvian mining" was to determine if the principles of sustainable development as a tool for CMA will be related with sustainable development policies in Peruvian mining, since their knowledge is extremely important since what is sought is to generate awareness about sustainable development and to know if the people who work in the mines have knowledge of these issues. The methodology used in the research is applied, non-experimental design and cross-sectional. To measure the study variables, a questionnaire with 10 questions was used. The study sample consisted of 100 people who work in the mines. As a conclusion, it was obtained that the principles of sustainable development as a tool for the CMA are related to the policies of sustainable development in Peruvian mining, since a Spearman's Rho correlation coefficient was obtained, which has the value of 0.538** and the sigma (two-sided) of 0.004.</w:t>
      </w:r>
    </w:p>
    <w:p w14:paraId="0F9141A4" w14:textId="77777777" w:rsidR="00900A4E" w:rsidRPr="00900A4E" w:rsidRDefault="00900A4E" w:rsidP="00900A4E">
      <w:pPr>
        <w:spacing w:after="0" w:line="480" w:lineRule="auto"/>
        <w:ind w:firstLine="360"/>
        <w:jc w:val="both"/>
        <w:rPr>
          <w:rFonts w:ascii="Times New Roman" w:eastAsia="Calibri" w:hAnsi="Times New Roman" w:cs="Times New Roman"/>
          <w:sz w:val="24"/>
          <w:szCs w:val="24"/>
          <w:lang w:val="en-US"/>
        </w:rPr>
      </w:pPr>
      <w:r w:rsidRPr="00900A4E">
        <w:rPr>
          <w:rFonts w:ascii="Times New Roman" w:eastAsia="Calibri" w:hAnsi="Times New Roman" w:cs="Times New Roman"/>
          <w:i/>
          <w:iCs/>
          <w:sz w:val="24"/>
          <w:szCs w:val="24"/>
          <w:lang w:val="en"/>
        </w:rPr>
        <w:t>Keywords:</w:t>
      </w:r>
      <w:r w:rsidRPr="00900A4E">
        <w:rPr>
          <w:rFonts w:ascii="Times New Roman" w:eastAsia="Calibri" w:hAnsi="Times New Roman" w:cs="Times New Roman"/>
          <w:sz w:val="24"/>
          <w:szCs w:val="24"/>
          <w:lang w:val="en"/>
        </w:rPr>
        <w:t xml:space="preserve"> mine, sustainable development, environment, policies, CMA.</w:t>
      </w:r>
    </w:p>
    <w:p w14:paraId="0E9CFCD0" w14:textId="77777777" w:rsidR="00A14667" w:rsidRPr="007F3901" w:rsidRDefault="00A14667" w:rsidP="00A14667">
      <w:pPr>
        <w:spacing w:after="0" w:line="480" w:lineRule="auto"/>
        <w:ind w:right="-285"/>
        <w:jc w:val="both"/>
        <w:rPr>
          <w:rFonts w:ascii="Times New Roman" w:hAnsi="Times New Roman" w:cs="Times New Roman"/>
          <w:bCs/>
          <w:sz w:val="24"/>
          <w:szCs w:val="24"/>
          <w:lang w:val="en-US"/>
        </w:rPr>
      </w:pPr>
    </w:p>
    <w:p w14:paraId="6FD452D8" w14:textId="77777777" w:rsidR="009F3072" w:rsidRPr="007F3901" w:rsidRDefault="00C379D5" w:rsidP="00A9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es-PE"/>
        </w:rPr>
      </w:pPr>
      <w:r w:rsidRPr="007F3901">
        <w:rPr>
          <w:rFonts w:ascii="Times New Roman" w:eastAsia="Times New Roman" w:hAnsi="Times New Roman" w:cs="Times New Roman"/>
          <w:b/>
          <w:sz w:val="24"/>
          <w:szCs w:val="24"/>
          <w:lang w:eastAsia="es-PE"/>
        </w:rPr>
        <w:t>I</w:t>
      </w:r>
      <w:r w:rsidR="009F3072" w:rsidRPr="007F3901">
        <w:rPr>
          <w:rFonts w:ascii="Times New Roman" w:eastAsia="Times New Roman" w:hAnsi="Times New Roman" w:cs="Times New Roman"/>
          <w:b/>
          <w:sz w:val="24"/>
          <w:szCs w:val="24"/>
          <w:lang w:eastAsia="es-PE"/>
        </w:rPr>
        <w:t>NTRODUCCIÓN</w:t>
      </w:r>
    </w:p>
    <w:p w14:paraId="22F01311" w14:textId="21D237A7" w:rsidR="00900A4E" w:rsidRPr="00900A4E" w:rsidRDefault="00900A4E" w:rsidP="00900A4E">
      <w:pPr>
        <w:spacing w:after="0" w:line="480" w:lineRule="auto"/>
        <w:ind w:right="-285"/>
        <w:jc w:val="both"/>
        <w:rPr>
          <w:rFonts w:ascii="Times New Roman" w:hAnsi="Times New Roman" w:cs="Times New Roman"/>
          <w:bCs/>
          <w:sz w:val="24"/>
          <w:szCs w:val="24"/>
        </w:rPr>
      </w:pPr>
      <w:r w:rsidRPr="00900A4E">
        <w:rPr>
          <w:rFonts w:ascii="Times New Roman" w:hAnsi="Times New Roman" w:cs="Times New Roman"/>
          <w:bCs/>
          <w:sz w:val="24"/>
          <w:szCs w:val="24"/>
        </w:rPr>
        <w:t>El Perú es un país cuya reconocida tradición minera se demuestra en la  actualidad por la presencia de: cerámicos, orfebrería, tintes, ciudadelas, templos y sitios arqueológicos de la época Pre Inca e Inca; explotación de yacimientos de oro, plata, cobre y azogue desde la época de la Colonia; explotación del salitre en la época inicial de la República y actualmente por la presencia de una variada gama de recursos minerales y energéticos que generan anualmente al país más  del 60% de los ingresos de divisas por las exportaciones nacionales.</w:t>
      </w:r>
    </w:p>
    <w:p w14:paraId="663C3780" w14:textId="6F183286" w:rsidR="00232E45" w:rsidRPr="007F3901"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bCs/>
          <w:sz w:val="24"/>
          <w:szCs w:val="24"/>
        </w:rPr>
        <w:t xml:space="preserve">En la constitución de 1993, </w:t>
      </w:r>
      <w:proofErr w:type="spellStart"/>
      <w:r w:rsidRPr="00900A4E">
        <w:rPr>
          <w:rFonts w:ascii="Times New Roman" w:hAnsi="Times New Roman" w:cs="Times New Roman"/>
          <w:bCs/>
          <w:sz w:val="24"/>
          <w:szCs w:val="24"/>
        </w:rPr>
        <w:t>capitulo</w:t>
      </w:r>
      <w:proofErr w:type="spellEnd"/>
      <w:r w:rsidRPr="00900A4E">
        <w:rPr>
          <w:rFonts w:ascii="Times New Roman" w:hAnsi="Times New Roman" w:cs="Times New Roman"/>
          <w:bCs/>
          <w:sz w:val="24"/>
          <w:szCs w:val="24"/>
        </w:rPr>
        <w:t xml:space="preserve"> del Ambiente y Recursos Naturales, donde se establece recursos renovables y no renovables y por ende le pertenece a la Nación que el aprovechamiento es el estado y para ello acá interviene la ley orgánica donde se fija las condiciones de la manera de la utilización. La soberanía del Estado se expresa en la competencia que tiene para legislar y ejercer funciones ejecutivas y jurisdiccionales sobre los recursos naturales, dada su diversidad y especialidad en su tratamiento y manejo.</w:t>
      </w:r>
    </w:p>
    <w:p w14:paraId="633990D4" w14:textId="6C21C2D4" w:rsidR="008354B8" w:rsidRPr="007F3901" w:rsidRDefault="008354B8" w:rsidP="00232E45">
      <w:pPr>
        <w:spacing w:after="0" w:line="480" w:lineRule="auto"/>
        <w:ind w:right="-285"/>
        <w:jc w:val="both"/>
        <w:rPr>
          <w:rFonts w:ascii="Times New Roman" w:hAnsi="Times New Roman" w:cs="Times New Roman"/>
          <w:bCs/>
          <w:sz w:val="24"/>
          <w:szCs w:val="24"/>
          <w:u w:val="single"/>
        </w:rPr>
      </w:pPr>
      <w:r w:rsidRPr="007F3901">
        <w:rPr>
          <w:rFonts w:ascii="Times New Roman" w:hAnsi="Times New Roman" w:cs="Times New Roman"/>
          <w:bCs/>
          <w:sz w:val="24"/>
          <w:szCs w:val="24"/>
          <w:u w:val="single"/>
        </w:rPr>
        <w:t>Problema principal de la Investigación fue:</w:t>
      </w:r>
    </w:p>
    <w:p w14:paraId="59304581" w14:textId="771FFB10" w:rsidR="00900A4E" w:rsidRPr="00900A4E" w:rsidRDefault="00C60B51" w:rsidP="00900A4E">
      <w:pPr>
        <w:widowControl w:val="0"/>
        <w:autoSpaceDE w:val="0"/>
        <w:autoSpaceDN w:val="0"/>
        <w:spacing w:before="15" w:after="0" w:line="480" w:lineRule="auto"/>
        <w:jc w:val="both"/>
        <w:rPr>
          <w:rFonts w:ascii="Times New Roman" w:hAnsi="Times New Roman" w:cs="Times New Roman"/>
          <w:sz w:val="24"/>
          <w:szCs w:val="32"/>
        </w:rPr>
      </w:pPr>
      <w:r w:rsidRPr="00C60B51">
        <w:rPr>
          <w:rFonts w:ascii="Times New Roman" w:hAnsi="Times New Roman" w:cs="Times New Roman"/>
          <w:sz w:val="24"/>
          <w:szCs w:val="32"/>
        </w:rPr>
        <w:t>¿Los</w:t>
      </w:r>
      <w:r>
        <w:rPr>
          <w:rFonts w:ascii="Times New Roman" w:hAnsi="Times New Roman" w:cs="Times New Roman"/>
          <w:sz w:val="24"/>
          <w:szCs w:val="32"/>
        </w:rPr>
        <w:t xml:space="preserve"> </w:t>
      </w:r>
      <w:r w:rsidRPr="00C60B51">
        <w:rPr>
          <w:rFonts w:ascii="Times New Roman" w:hAnsi="Times New Roman" w:cs="Times New Roman"/>
          <w:sz w:val="24"/>
          <w:szCs w:val="32"/>
        </w:rPr>
        <w:t>principios</w:t>
      </w:r>
      <w:r>
        <w:rPr>
          <w:rFonts w:ascii="Times New Roman" w:hAnsi="Times New Roman" w:cs="Times New Roman"/>
          <w:sz w:val="24"/>
          <w:szCs w:val="32"/>
        </w:rPr>
        <w:t xml:space="preserve"> </w:t>
      </w:r>
      <w:r w:rsidRPr="00C60B51">
        <w:rPr>
          <w:rFonts w:ascii="Times New Roman" w:hAnsi="Times New Roman" w:cs="Times New Roman"/>
          <w:sz w:val="24"/>
          <w:szCs w:val="32"/>
        </w:rPr>
        <w:t>de</w:t>
      </w:r>
      <w:r>
        <w:rPr>
          <w:rFonts w:ascii="Times New Roman" w:hAnsi="Times New Roman" w:cs="Times New Roman"/>
          <w:sz w:val="24"/>
          <w:szCs w:val="32"/>
        </w:rPr>
        <w:t xml:space="preserve"> </w:t>
      </w:r>
      <w:r w:rsidRPr="00C60B51">
        <w:rPr>
          <w:rFonts w:ascii="Times New Roman" w:hAnsi="Times New Roman" w:cs="Times New Roman"/>
          <w:sz w:val="24"/>
          <w:szCs w:val="32"/>
        </w:rPr>
        <w:t>desarrollo</w:t>
      </w:r>
      <w:r>
        <w:rPr>
          <w:rFonts w:ascii="Times New Roman" w:hAnsi="Times New Roman" w:cs="Times New Roman"/>
          <w:sz w:val="24"/>
          <w:szCs w:val="32"/>
        </w:rPr>
        <w:t xml:space="preserve"> s</w:t>
      </w:r>
      <w:r w:rsidRPr="00C60B51">
        <w:rPr>
          <w:rFonts w:ascii="Times New Roman" w:hAnsi="Times New Roman" w:cs="Times New Roman"/>
          <w:sz w:val="24"/>
          <w:szCs w:val="32"/>
        </w:rPr>
        <w:t>ostenible</w:t>
      </w:r>
      <w:r>
        <w:rPr>
          <w:rFonts w:ascii="Times New Roman" w:hAnsi="Times New Roman" w:cs="Times New Roman"/>
          <w:sz w:val="24"/>
          <w:szCs w:val="32"/>
        </w:rPr>
        <w:t xml:space="preserve"> </w:t>
      </w:r>
      <w:r w:rsidRPr="00C60B51">
        <w:rPr>
          <w:rFonts w:ascii="Times New Roman" w:hAnsi="Times New Roman" w:cs="Times New Roman"/>
          <w:sz w:val="24"/>
          <w:szCs w:val="32"/>
        </w:rPr>
        <w:t>como</w:t>
      </w:r>
      <w:r>
        <w:rPr>
          <w:rFonts w:ascii="Times New Roman" w:hAnsi="Times New Roman" w:cs="Times New Roman"/>
          <w:sz w:val="24"/>
          <w:szCs w:val="32"/>
        </w:rPr>
        <w:t xml:space="preserve"> </w:t>
      </w:r>
      <w:r w:rsidRPr="00C60B51">
        <w:rPr>
          <w:rFonts w:ascii="Times New Roman" w:hAnsi="Times New Roman" w:cs="Times New Roman"/>
          <w:sz w:val="24"/>
          <w:szCs w:val="32"/>
        </w:rPr>
        <w:t>herramienta</w:t>
      </w:r>
      <w:r>
        <w:rPr>
          <w:rFonts w:ascii="Times New Roman" w:hAnsi="Times New Roman" w:cs="Times New Roman"/>
          <w:sz w:val="24"/>
          <w:szCs w:val="32"/>
        </w:rPr>
        <w:t xml:space="preserve"> </w:t>
      </w:r>
      <w:r w:rsidRPr="00C60B51">
        <w:rPr>
          <w:rFonts w:ascii="Times New Roman" w:hAnsi="Times New Roman" w:cs="Times New Roman"/>
          <w:sz w:val="24"/>
          <w:szCs w:val="32"/>
        </w:rPr>
        <w:t>para</w:t>
      </w:r>
      <w:r>
        <w:rPr>
          <w:rFonts w:ascii="Times New Roman" w:hAnsi="Times New Roman" w:cs="Times New Roman"/>
          <w:sz w:val="24"/>
          <w:szCs w:val="32"/>
        </w:rPr>
        <w:t xml:space="preserve"> </w:t>
      </w:r>
      <w:r w:rsidRPr="00C60B51">
        <w:rPr>
          <w:rFonts w:ascii="Times New Roman" w:hAnsi="Times New Roman" w:cs="Times New Roman"/>
          <w:sz w:val="24"/>
          <w:szCs w:val="32"/>
        </w:rPr>
        <w:t>los</w:t>
      </w:r>
      <w:r>
        <w:rPr>
          <w:rFonts w:ascii="Times New Roman" w:hAnsi="Times New Roman" w:cs="Times New Roman"/>
          <w:sz w:val="24"/>
          <w:szCs w:val="32"/>
        </w:rPr>
        <w:t xml:space="preserve"> </w:t>
      </w:r>
      <w:r w:rsidRPr="00C60B51">
        <w:rPr>
          <w:rFonts w:ascii="Times New Roman" w:hAnsi="Times New Roman" w:cs="Times New Roman"/>
          <w:sz w:val="24"/>
          <w:szCs w:val="32"/>
        </w:rPr>
        <w:t>CMA</w:t>
      </w:r>
      <w:r>
        <w:rPr>
          <w:rFonts w:ascii="Times New Roman" w:hAnsi="Times New Roman" w:cs="Times New Roman"/>
          <w:sz w:val="24"/>
          <w:szCs w:val="32"/>
        </w:rPr>
        <w:t xml:space="preserve"> </w:t>
      </w:r>
      <w:r w:rsidRPr="00C60B51">
        <w:rPr>
          <w:rFonts w:ascii="Times New Roman" w:hAnsi="Times New Roman" w:cs="Times New Roman"/>
          <w:sz w:val="24"/>
          <w:szCs w:val="32"/>
        </w:rPr>
        <w:t>se</w:t>
      </w:r>
      <w:r>
        <w:rPr>
          <w:rFonts w:ascii="Times New Roman" w:hAnsi="Times New Roman" w:cs="Times New Roman"/>
          <w:sz w:val="24"/>
          <w:szCs w:val="32"/>
        </w:rPr>
        <w:t xml:space="preserve"> </w:t>
      </w:r>
      <w:r w:rsidRPr="00C60B51">
        <w:rPr>
          <w:rFonts w:ascii="Times New Roman" w:hAnsi="Times New Roman" w:cs="Times New Roman"/>
          <w:sz w:val="24"/>
          <w:szCs w:val="32"/>
        </w:rPr>
        <w:t>relacionarán</w:t>
      </w:r>
      <w:r>
        <w:rPr>
          <w:rFonts w:ascii="Times New Roman" w:hAnsi="Times New Roman" w:cs="Times New Roman"/>
          <w:sz w:val="24"/>
          <w:szCs w:val="32"/>
        </w:rPr>
        <w:t xml:space="preserve"> </w:t>
      </w:r>
      <w:r w:rsidRPr="00C60B51">
        <w:rPr>
          <w:rFonts w:ascii="Times New Roman" w:hAnsi="Times New Roman" w:cs="Times New Roman"/>
          <w:sz w:val="24"/>
          <w:szCs w:val="32"/>
        </w:rPr>
        <w:t>con</w:t>
      </w:r>
      <w:r>
        <w:rPr>
          <w:rFonts w:ascii="Times New Roman" w:hAnsi="Times New Roman" w:cs="Times New Roman"/>
          <w:sz w:val="24"/>
          <w:szCs w:val="32"/>
        </w:rPr>
        <w:t xml:space="preserve"> </w:t>
      </w:r>
      <w:r w:rsidRPr="00C60B51">
        <w:rPr>
          <w:rFonts w:ascii="Times New Roman" w:hAnsi="Times New Roman" w:cs="Times New Roman"/>
          <w:sz w:val="24"/>
          <w:szCs w:val="32"/>
        </w:rPr>
        <w:t>las</w:t>
      </w:r>
      <w:r>
        <w:rPr>
          <w:rFonts w:ascii="Times New Roman" w:hAnsi="Times New Roman" w:cs="Times New Roman"/>
          <w:sz w:val="24"/>
          <w:szCs w:val="32"/>
        </w:rPr>
        <w:t xml:space="preserve"> </w:t>
      </w:r>
      <w:r w:rsidRPr="00C60B51">
        <w:rPr>
          <w:rFonts w:ascii="Times New Roman" w:hAnsi="Times New Roman" w:cs="Times New Roman"/>
          <w:sz w:val="24"/>
          <w:szCs w:val="32"/>
        </w:rPr>
        <w:t>políticas</w:t>
      </w:r>
      <w:r>
        <w:rPr>
          <w:rFonts w:ascii="Times New Roman" w:hAnsi="Times New Roman" w:cs="Times New Roman"/>
          <w:sz w:val="24"/>
          <w:szCs w:val="32"/>
        </w:rPr>
        <w:t xml:space="preserve"> </w:t>
      </w:r>
      <w:r w:rsidRPr="00C60B51">
        <w:rPr>
          <w:rFonts w:ascii="Times New Roman" w:hAnsi="Times New Roman" w:cs="Times New Roman"/>
          <w:sz w:val="24"/>
          <w:szCs w:val="32"/>
        </w:rPr>
        <w:t>de</w:t>
      </w:r>
      <w:r>
        <w:rPr>
          <w:rFonts w:ascii="Times New Roman" w:hAnsi="Times New Roman" w:cs="Times New Roman"/>
          <w:sz w:val="24"/>
          <w:szCs w:val="32"/>
        </w:rPr>
        <w:t xml:space="preserve"> </w:t>
      </w:r>
      <w:r w:rsidRPr="00C60B51">
        <w:rPr>
          <w:rFonts w:ascii="Times New Roman" w:hAnsi="Times New Roman" w:cs="Times New Roman"/>
          <w:sz w:val="24"/>
          <w:szCs w:val="32"/>
        </w:rPr>
        <w:t>desarrollo sostenible</w:t>
      </w:r>
      <w:r>
        <w:rPr>
          <w:rFonts w:ascii="Times New Roman" w:hAnsi="Times New Roman" w:cs="Times New Roman"/>
          <w:sz w:val="24"/>
          <w:szCs w:val="32"/>
        </w:rPr>
        <w:t xml:space="preserve"> </w:t>
      </w:r>
      <w:r w:rsidRPr="00C60B51">
        <w:rPr>
          <w:rFonts w:ascii="Times New Roman" w:hAnsi="Times New Roman" w:cs="Times New Roman"/>
          <w:sz w:val="24"/>
          <w:szCs w:val="32"/>
        </w:rPr>
        <w:t>en</w:t>
      </w:r>
      <w:r>
        <w:rPr>
          <w:rFonts w:ascii="Times New Roman" w:hAnsi="Times New Roman" w:cs="Times New Roman"/>
          <w:sz w:val="24"/>
          <w:szCs w:val="32"/>
        </w:rPr>
        <w:t xml:space="preserve"> </w:t>
      </w:r>
      <w:r w:rsidRPr="00C60B51">
        <w:rPr>
          <w:rFonts w:ascii="Times New Roman" w:hAnsi="Times New Roman" w:cs="Times New Roman"/>
          <w:sz w:val="24"/>
          <w:szCs w:val="32"/>
        </w:rPr>
        <w:t>la</w:t>
      </w:r>
      <w:r>
        <w:rPr>
          <w:rFonts w:ascii="Times New Roman" w:hAnsi="Times New Roman" w:cs="Times New Roman"/>
          <w:sz w:val="24"/>
          <w:szCs w:val="32"/>
        </w:rPr>
        <w:t xml:space="preserve"> </w:t>
      </w:r>
      <w:r w:rsidRPr="00C60B51">
        <w:rPr>
          <w:rFonts w:ascii="Times New Roman" w:hAnsi="Times New Roman" w:cs="Times New Roman"/>
          <w:sz w:val="24"/>
          <w:szCs w:val="32"/>
        </w:rPr>
        <w:t>minería</w:t>
      </w:r>
      <w:r>
        <w:rPr>
          <w:rFonts w:ascii="Times New Roman" w:hAnsi="Times New Roman" w:cs="Times New Roman"/>
          <w:sz w:val="24"/>
          <w:szCs w:val="32"/>
        </w:rPr>
        <w:t xml:space="preserve"> </w:t>
      </w:r>
      <w:r w:rsidRPr="00C60B51">
        <w:rPr>
          <w:rFonts w:ascii="Times New Roman" w:hAnsi="Times New Roman" w:cs="Times New Roman"/>
          <w:sz w:val="24"/>
          <w:szCs w:val="32"/>
        </w:rPr>
        <w:t>peruana</w:t>
      </w:r>
      <w:r w:rsidR="00900A4E" w:rsidRPr="00900A4E">
        <w:rPr>
          <w:rFonts w:ascii="Times New Roman" w:hAnsi="Times New Roman" w:cs="Times New Roman"/>
          <w:sz w:val="24"/>
          <w:szCs w:val="32"/>
        </w:rPr>
        <w:t>?</w:t>
      </w:r>
    </w:p>
    <w:p w14:paraId="41D1CC46" w14:textId="1F23CF95" w:rsidR="008354B8" w:rsidRPr="007F3901" w:rsidRDefault="008354B8" w:rsidP="00A95271">
      <w:pPr>
        <w:spacing w:after="0" w:line="480" w:lineRule="auto"/>
        <w:ind w:right="-285"/>
        <w:jc w:val="both"/>
        <w:rPr>
          <w:rFonts w:ascii="Times New Roman" w:hAnsi="Times New Roman" w:cs="Times New Roman"/>
          <w:bCs/>
          <w:sz w:val="24"/>
          <w:szCs w:val="24"/>
        </w:rPr>
      </w:pPr>
      <w:r w:rsidRPr="007F3901">
        <w:rPr>
          <w:rFonts w:ascii="Times New Roman" w:hAnsi="Times New Roman" w:cs="Times New Roman"/>
          <w:bCs/>
          <w:sz w:val="24"/>
          <w:szCs w:val="24"/>
        </w:rPr>
        <w:t xml:space="preserve">Al respecto, como </w:t>
      </w:r>
      <w:r w:rsidR="00C60B51" w:rsidRPr="007F3901">
        <w:rPr>
          <w:rFonts w:ascii="Times New Roman" w:hAnsi="Times New Roman" w:cs="Times New Roman"/>
          <w:bCs/>
          <w:sz w:val="24"/>
          <w:szCs w:val="24"/>
        </w:rPr>
        <w:t>antecedentes tenemos</w:t>
      </w:r>
      <w:r w:rsidRPr="007F3901">
        <w:rPr>
          <w:rFonts w:ascii="Times New Roman" w:hAnsi="Times New Roman" w:cs="Times New Roman"/>
          <w:bCs/>
          <w:sz w:val="24"/>
          <w:szCs w:val="24"/>
        </w:rPr>
        <w:t>:</w:t>
      </w:r>
    </w:p>
    <w:p w14:paraId="7F61CB71"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Arroyo (2017), en su tema sobre el turismo y el desarrollo sostenible en el distrito de Santa Rosa de Quives donde se trató como objetivo principal establecer la relación de ambas variables, el enfoque desarrollado es de naturaleza cuantitativa, además el diseño es no experimental, porque no ha manipulado variables, sino más bien ha hecho un análisis y descripción de la realidad, analizando e identificando los problemas que tiene la sociedad en su conjunto con lo sostenible, el instrumento usado fue la encuesta, se tomó una muestra de 361 pobladores de la población en general, y se llegó a una conclusión un poco negativa debido a la baja relación que se encontró en las variables de la presente investigación, estas en la obtención de los resultados arrojaron bajos índices de relación que tienen ambas, y de ahí que se hizo un análisis del porqué de este impase sobre el turismo y el desarrollo sostenible y se llegó a la conclusión general que debe haber más apoyo de parte de la población en su conjunto para poder apoyar el crecimiento económico, social y ambiental en este distrito que con la baja relación demuestra que no conseguirá obtener su desarrollo sostenible si no se superan este bajo apoyo hacia los factores sostenibles ,siendo los guía principales quizás el gobierno local y las autoridades que deben poner mayor empeño en capacitar y educar sobre los buenos logros que tienen la sostenibilidad para un desarrollo local.</w:t>
      </w:r>
    </w:p>
    <w:p w14:paraId="65C6B8F7"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Aparicio (2017), en su trabajo de investigación realizado para buscar la relación existente entre las variables turismo y desarrollo sostenible en el distrito de Miraflores, tuvo como objetivo principal describir como se está realizando el desarrollo sostenible de los pobladores de este mencionado distrito y sobre todo como esta su relación según su naturaleza. Se trata de un estudio cuantitativo de diseño no experimental, de tipo aplicada y de nivel descriptivo, como instrumento se utilizó el método de la encuesta y el muestreo fue de estilo probabilístico, analizando estadísticamente se obtuvo como muestra la cantidad de 196 colaboradores que residen en este distrito y al obtener los resultados de las personas encuestadas se muestra que el 56% refirió un nivel de aceptación positivo en cuanto al desarrollo sostenible del turismo, el 44% señalan que se encuentra en nivel regular, la conclusión que se obtuvo a la propuesta por la hipótesis general fue de manera positiva demostrando que la población como eje principal de desarrollo sostenible juega un rol importante para obtener buenos logros para el desarrollo sostenible en cuanto al turismo en este distrito y que en los momentos en que se realiza la encuesta y el análisis de la principal investigación esto ha demostrado que se encuentra en subida de escalas positivas para su desarrollo sostenible en cuanto al turismo.</w:t>
      </w:r>
    </w:p>
    <w:p w14:paraId="13B2D2F2"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Bazán (2013), en su tema de análisis sobre las variables del desarrollo sostenible y los resultados de la intervención realizados en la provincia de Junín y sobre todo acompañado de un análisis sobre la regionalización que opera para este sistema de todos los gobiernos regionales en busca del desarrollo sostenible, el objetivo: en este estudio fue analizar y/o describir los retos que enfrenta un gobierno regional en esta caso Junín, basados en busca del desarrollo sostenible, aplicando reformas y proyecciones a futuro, el presente es un estudio de naturaleza u enfoque cualitativa, el presente trabajo realiza un estudio analítico y establecido de sucesos e historial basado en que todos los gobiernos sean locales o regionales deben asumir el reto de aplicar políticas generadoras de buscar desarrollo en sus ámbitos político, económico y social, sin descuidar el desarrollo ambiental que uniendo a todos se lograría y conseguiría un desarrollo sostenible en avance y en distinción positiva a los objetivos que se quieren  conseguir, al ser un trabajo cualitativo se analizó los logros conseguidos hasta el momento y no se tuvo que realizar ni encuestas ni tener población muestral, más por el contrario como son sus normas de investigación se concluyó en que los gobiernos regionales están demostrando mayor énfasis en sus planes de desarrollo concertado para sus pueblos y comunidades, a la vez que se está buscando capacitar a todas las personas para obtener buenos resultados sobre el desarrollo sostenible y además se está tratando de aplicar tecnología y unir esfuerzos y experiencias con otras regiones para que así en conjunto se pueda conseguir el desarrollo sostenible para las regiones del Perú.</w:t>
      </w:r>
    </w:p>
    <w:p w14:paraId="4E534104"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Unchupaico (2011), en su tema que busca relacionar las variables de gestión sostenible como modelo y la siguiente variable referida a los residuos sólidos urbanos, ubicados en el distrito de el Tambo en Huancayo, se propuso tener como objetivo: crear un proyecto para la gestión sostenible en una zona urbana en Huancayo en este caso el Tambo y se trató de tener como fuente como se encuentran actualmente los residuos sólidos en el mundo como estado de arte, se confirmó que el problema fundamental se basa en que los residuos sólidos domiciliarios representan un problema y se aplicó un instrumento de tipo encuesta donde se obtuvo como resultado que se debe establecer un proyecto o modelo de gestión que debe contener un mínimo de requisitos como por ejemplo, participación de todas las autoridades públicas y de todas las instituciones públicas y privadas, de la misma manera se debe contar con recursos humanos tanto profesionales como técnicos, facilitando de parte de las autoridades que dirigen este proyecto todas las facilidades que se puedan tener para la obtención de recursos económicos y materiales que sean destinados a conseguir este objetivo de eliminar o resolver el problema de los residuos sólidos, se concluye señalando algunos elementos básicos que son elementales para conseguir el modelo de gestión para residuos sólidos con los cuales a través de la encuesta y los resultados se obtuvieron y se indicaron para la presente investigación. Dentro de estos elementos se pudo encontrar un sistema de esquema operativo de cómo se debe elaborar este modelo desde el inicio hasta el final considerando desde minimizar el reciclaje hasta su recuperación como fuente usable para otras necesidades.</w:t>
      </w:r>
    </w:p>
    <w:p w14:paraId="6AF20BA5"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Montañez (2017), en su tema relacionado a las variables sobre el desarrollo sostenible como variable principal y a la responsabilidad social en la municipalidad que existe sobre esta, estabilizados en la provincia de Yungay para el año 2017, se determinó como objetivo principal establecer la relación que existe entre estas variables, la investigación que realizó fue tipo no experimental, correlacional, de enfoque cuantitativo, la población en general es la provincia de Yungay, además el muestreo se obtuvo estadísticamente del total de la población con colaboradores en total 294 pertenecientes a la municipalidad provincial de Yungay, como resultado de ambas variables, se determinó que ambas variables si tienen una relación alta y significativa de acuerdo a los resultados estadísticos obtenidos, de esta manera se concluye estableciendo la respuesta a la hipótesis general y demostrando que el grado de responsabilidad social que tiene la municipalidad de Yungay sobre el desarrollo sostenible es significativo, es decir que la importancia que se establece para los sistemas económicos, sociales y ambientales impuesta por la municipalidad ha generado una responsabilidad social muy positiva y de esta manera esto conlleva a que en el futuro se estará consiguiendo un desarrollo sostenible al interior de la municipalidad en mención.</w:t>
      </w:r>
    </w:p>
    <w:p w14:paraId="62B5A6EF"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Picón (2011), en su tema de investigación se trabajó para conseguir la relación que existe entre un enfoque ambiental dirigida a buscar una educación para el desarrollo sostenible tratando establecer análisis de investigación basado en la educación como fuente y base principal que nos llevara a conseguir objetivos claros y concisos sobre el desarrollo sostenible esto quizás siendo objetivo general, además, se puso como segundo objetivo medir el nivel cultural en cuanto al medio ambiente que se enseña a través de la educación a nuestros niños. El problema principal manifiesta que todo niño debe recibir capacitación adecuada de cómo se puede conseguir una vida mejor y saludable de acuerdo al medio donde vive, así como, desarrollar una idea sólida y consolidada sobre el desarrollo sostenible lo que hasta ahora no se está cumpliendo, existiendo un total desconocimiento en el sistema educativo de cómo se debe fomentar esta educación de cultura ambiental, se visualiza 5 capítulos dentro de esta investigación indicando los procedimientos y las normas que se debe impartir en los colegios y centros de estudio de todo nivel empezando por el nivel inicial, tema básico de educación de sostenibilidad y desarrollo y educación cultural de sostenibilidad, conclusiones: luego de los diversos análisis y resultados obtenidos se llegó a las conclusión de fomentar la importancia educativa a la enseñanza de la cultura ambiental y la sostenibilidad, empezando desde el sistema pedagógico y la participación de autoridades tanto del Ministerio de Ambiente como del Ministerio de Educación para que actúen en forma coordinada a la vez que se debe descentralizar todos los sistemas para una autonomía propia y ejecutiva para cada región y así puedan tomar decisiones positivas para la enseñanza de la cultura ambiental y enfoque hacia el desarrollo sostenible de una localidad región y por ende del país, todo esto desde la base de enseñanza y el enfoque se tiene, además buscar otros intereses basados en el enfoque ambiental como la salud y la educación.</w:t>
      </w:r>
    </w:p>
    <w:p w14:paraId="2EF7B87F"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ONU (2012), Organización de las Naciones Unidas manifiesta en uno de sus puntos llamado: “Educación para el desarrollo sostenible”, que uno de los problemas básicos en las enseñanzas es la edición de los libros y textos de enseñanza, además, también la educación para el desarrollo sostenible no se da encerrando dentro de las aulas y con enseñanzas antitécnicas hacia los niños y jóvenes, que en algunas ocasiones no entienden lo que significa el desarrollo sostenible en el mundo o en este caso en sus localidades, manifestar que en poco  tiempo se lograría conseguir un desarrollo en economía, social y mejorar el cuidado del medio ambiente y los recursos naturales, no se puede educar y enseñar  que la sostenibilidad es curso de enseñanza para los cuadernos y libros y queden impresos ahí, se debe enseñar que el desarrollo sostenible debe considerarse como un objetivo a largo plazo, se debe enseñar de acuerdo a su lugar de origen sobre los diferentes procesos y caminos que se han de seguir para conseguir este desarrollo, el objetivo de esta publicación consiste en crear conciencia en el mundo entero que el desarrollo sostenible se puede cimentar desde la educación en todos sus aspectos, es decir educar desde los inicios o niveles de educación a todos los niños y jóvenes sobre sostenibilidad y su rumbo al desarrollo sostenible, para concluir manifiesta que la entidad internacional para la educación Unesco recomienda que los temas que se enseñan en los instituciones educativas sobre sostenibilidad deben ser redactados de manera más práctica y pedagógica por autores profesionales que hayan vivido y experimentado la enseñanza de la sostenibilidad y su aplicación para un desarrollo sostenible.</w:t>
      </w:r>
    </w:p>
    <w:p w14:paraId="706DA033"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 xml:space="preserve">Neves (2014), en su tesis: Modelo de desarrollo local sostenible: el caso del municipio de Sao Joao del Rei (Brasil). describe el problema relatando una breve historia de la ciudad: “Campo das </w:t>
      </w:r>
      <w:proofErr w:type="spellStart"/>
      <w:r w:rsidRPr="00900A4E">
        <w:rPr>
          <w:rFonts w:ascii="Times New Roman" w:hAnsi="Times New Roman" w:cs="Times New Roman"/>
          <w:sz w:val="24"/>
          <w:szCs w:val="24"/>
        </w:rPr>
        <w:t>Vertentes</w:t>
      </w:r>
      <w:proofErr w:type="spellEnd"/>
      <w:r w:rsidRPr="00900A4E">
        <w:rPr>
          <w:rFonts w:ascii="Times New Roman" w:hAnsi="Times New Roman" w:cs="Times New Roman"/>
          <w:sz w:val="24"/>
          <w:szCs w:val="24"/>
        </w:rPr>
        <w:t xml:space="preserve">” (campo de pendientes) quien en los últimos 25 años viene soportando el estancamiento de su desarrollo, usa el método cuantitativo, el objetivo principal de su tesis es: proponer un modelo de desarrollo local sostenible para la ciudad de São Joao Del Rei, y de esta manera ser imagen para otras ciudades de las mismas características que la enunciada, para que así puedan visualizar el adelanto sostenible de Sao Joao Del Rei, realiza además la muestra de tipo probabilístico siendo el instrumento utilizado la  encuesta que se aplicó a un total de 584 colaboradores que los distribuyo de la siguiente manera: población de la ciudad de Sao Joao Del Rei, siendo 73 (12,52%) a los habitantes del barrio Centro, 111 (19,04%) a los habitantes del barrio Colonia, 175 (30,02%) a los habitantes del barrio </w:t>
      </w:r>
      <w:proofErr w:type="spellStart"/>
      <w:r w:rsidRPr="00900A4E">
        <w:rPr>
          <w:rFonts w:ascii="Times New Roman" w:hAnsi="Times New Roman" w:cs="Times New Roman"/>
          <w:sz w:val="24"/>
          <w:szCs w:val="24"/>
        </w:rPr>
        <w:t>Tejuco</w:t>
      </w:r>
      <w:proofErr w:type="spellEnd"/>
      <w:r w:rsidRPr="00900A4E">
        <w:rPr>
          <w:rFonts w:ascii="Times New Roman" w:hAnsi="Times New Roman" w:cs="Times New Roman"/>
          <w:sz w:val="24"/>
          <w:szCs w:val="24"/>
        </w:rPr>
        <w:t xml:space="preserve"> y 224 (38,42%) a los pobladores del barrio Matosinhos, lo que supone el 93,58% de la muestra definida , conclusión: se espera que el presente trabajo contribuya en el objetivo principal como es la aplicación práctica del modelo de desarrollo local sostenible  utilizado para la ciudad de Sao Joao Del Rei y esta a su vez pueda servir de base para la puesta en marcha de un desarrollo sostenible local para otros pueblos de similares características.</w:t>
      </w:r>
    </w:p>
    <w:p w14:paraId="38A7A9FB"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Aguilera (2018), en su artículo “Desarrollo sostenible y planificación del desarrollo local” escrita para: “Revistas Bolivianas electrónicas en línea” como tipo de informe detallando que en Bolivia se hace un análisis de cómo se investiga para que exista un proceso de sostenibilidad del desarrollo, para la cual es necesario una etapa previa, argumentando que la planificación sea la base del desarrollo local -municipal con miras al desarrollo sostenible, el objetivo del presente informe manifiesta que si Bolivia comienza a aplicar las técnicas de la sostenibilidad sería más desarrollado en sus gobiernos locales, además establece en el presente informe que mejoraría la calidad de vida a quienes se toma como muestra general del estudio y factor importante para demostrar que este país sudamericano puede salir adelante y aplicando la técnica de la sostenibilidad en sus ejes de desarrollo alcanzaría un máximo desarrollo en sus diferentes aspectos, en conclusión el presente artículo manifiesta que Bolivia se encuentra entusiasmada y decidida en la aplicación de las técnicas y procedimientos que señalan los objetivos de la sostenibilidad para lograr un desarrollo, aun teniendo mínimos índices de recursos económicos para facilitar o proveer de recursos materiales, los gobiernos locales de este país tienden a poner todo esfuerzo posible para lograr que el tan ansiado desarrollo sea positivo para Bolivia en favor precisamente del desarrollo sostenible y que al igual que toda Latinoamérica necesita el apoyo para su desarrollo basado en aplicar la sostenibilidad en todo el país boliviano.</w:t>
      </w:r>
    </w:p>
    <w:p w14:paraId="1330D9ED" w14:textId="77777777" w:rsidR="00900A4E" w:rsidRP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Cardona (2015), en su tesis titulada “Diseño de una estrategia de desarrollo sostenible para el municipio de Aquismón, San Luis Potosí 2015-2025” presentado en la ciudad de México DF, investigación de tipo explicativa, cuyo objetivo es elaborar un sistema de desarrollo sostenible para el municipio mencionado en el título de la presente investigación, realizando para esto un estudio de factibilidad técnico económica que permita visualizar los índices de su estructura en los campos que conciernen al desarrollo sostenible ,investigación de enfoque cuantitativo, la muestra para la presente tesis se obtuvo calculando la media poblacional de los ingresos rurales que tienen a nivel nacional las comunidades con más de 100 habitantes, conclusión: se logra elaborar un modelo de diseño para el desarrollo sostenible reuniendo o aplicando técnicas de mejora  y tecnología en las variables que son objetivos de esta investigación es decir en lo social, en lo económico y en lo ambiental buscar que estos se interrelacionen y busquen utilizar todas las técnicas y recursos disponibles y así conseguir el tan ansiado desarrollo sostenible.</w:t>
      </w:r>
    </w:p>
    <w:p w14:paraId="2A10BD2E" w14:textId="3BDF549B" w:rsidR="00900A4E" w:rsidRDefault="00900A4E" w:rsidP="00900A4E">
      <w:pPr>
        <w:spacing w:after="0" w:line="480" w:lineRule="auto"/>
        <w:ind w:right="-285"/>
        <w:jc w:val="both"/>
        <w:rPr>
          <w:rFonts w:ascii="Times New Roman" w:hAnsi="Times New Roman" w:cs="Times New Roman"/>
          <w:sz w:val="24"/>
          <w:szCs w:val="24"/>
        </w:rPr>
      </w:pPr>
      <w:r w:rsidRPr="00900A4E">
        <w:rPr>
          <w:rFonts w:ascii="Times New Roman" w:hAnsi="Times New Roman" w:cs="Times New Roman"/>
          <w:sz w:val="24"/>
          <w:szCs w:val="24"/>
        </w:rPr>
        <w:t>De la Serna (2017), en su informe titulado “20 años de políticas locales de desarrollo sostenible en España” nos dice: apoyado y en todo su contexto  desenvuelta e investigada por la Federación Española de Municipios y Provincias (FEMP) y el  Observatorio de la Sostenibilidad en España (OSE), quienes encabezados por el alcalde de Santander describen como problema que no se trata de si deberán o no deberán hacer políticas de desarrollo sostenible, simplemente manifiestan que es su responsabilidad hacerlo, la apuesta de la FEMP pasa por la puesta en marcha de una agenda de sostenibilidad local amplia e inclusiva, con medidas que van desde la igualdad, la inclusión y cohesión social hasta el desarrollo urbano y la promoción de una economía verde, el objetivo principal de este informe fue el de hacer una recopilación y un balance sobre las políticas de desarrollo sostenible en los últimos 20 años en el país de España, elaborado conjuntamente por la FEMP y el OSE, quienes hacen un amplio estudio de las actuaciones  municipales en materia de sostenibilidad, además, en los contenidos del presente informe del código se estructuran cuatro grandes capítulos: los dos primeros engloban los sistemas y objetivos logrados a nivel internacional en cuestión de calidad y en el tercer capítulo sobre las técnicas y tecnología aplicadas, así como en el último capítulo recopila Información complementaria sobre las políticas de desarrollo sostenible y su repercusión en los Gobiernos Locales españoles, y de esta manera realizar un detallado análisis de los objetivos que se perciben al difundir el presente informe que a la par deberá esclarecer sobre la políticas de sostenibilidad en los municipios españoles a lo largo de todo el territorio español.</w:t>
      </w:r>
    </w:p>
    <w:p w14:paraId="01BD911C" w14:textId="77777777" w:rsidR="00C60B51" w:rsidRDefault="00C60B51" w:rsidP="00900A4E">
      <w:pPr>
        <w:spacing w:after="0" w:line="480" w:lineRule="auto"/>
        <w:ind w:right="-285"/>
        <w:jc w:val="both"/>
        <w:rPr>
          <w:rFonts w:ascii="Times New Roman" w:hAnsi="Times New Roman" w:cs="Times New Roman"/>
          <w:sz w:val="24"/>
          <w:szCs w:val="24"/>
        </w:rPr>
      </w:pPr>
    </w:p>
    <w:p w14:paraId="2B0AEC57" w14:textId="4DE6CB44" w:rsidR="009F3072" w:rsidRPr="007F3901" w:rsidRDefault="009977DA" w:rsidP="00900A4E">
      <w:pPr>
        <w:spacing w:after="0" w:line="480" w:lineRule="auto"/>
        <w:ind w:right="-285"/>
        <w:jc w:val="both"/>
        <w:rPr>
          <w:rFonts w:ascii="Times New Roman" w:hAnsi="Times New Roman" w:cs="Times New Roman"/>
          <w:b/>
          <w:sz w:val="24"/>
          <w:szCs w:val="24"/>
        </w:rPr>
      </w:pPr>
      <w:r w:rsidRPr="007F3901">
        <w:rPr>
          <w:rFonts w:ascii="Times New Roman" w:hAnsi="Times New Roman" w:cs="Times New Roman"/>
          <w:b/>
          <w:sz w:val="24"/>
          <w:szCs w:val="24"/>
        </w:rPr>
        <w:t>MÉTODO</w:t>
      </w:r>
    </w:p>
    <w:p w14:paraId="7A7AD198" w14:textId="16241CFF" w:rsidR="001F2A50" w:rsidRDefault="006D133C" w:rsidP="007F3901">
      <w:pPr>
        <w:spacing w:after="0" w:line="480" w:lineRule="auto"/>
        <w:ind w:right="-285"/>
        <w:jc w:val="both"/>
        <w:rPr>
          <w:rFonts w:ascii="Times New Roman" w:hAnsi="Times New Roman" w:cs="Times New Roman"/>
          <w:sz w:val="24"/>
          <w:szCs w:val="24"/>
        </w:rPr>
      </w:pPr>
      <w:r>
        <w:rPr>
          <w:rFonts w:ascii="Times New Roman" w:hAnsi="Times New Roman" w:cs="Times New Roman"/>
          <w:bCs/>
          <w:sz w:val="24"/>
          <w:szCs w:val="24"/>
        </w:rPr>
        <w:t xml:space="preserve">Para la </w:t>
      </w:r>
      <w:r w:rsidR="00807649" w:rsidRPr="001F2A50">
        <w:rPr>
          <w:rFonts w:ascii="Times New Roman" w:hAnsi="Times New Roman" w:cs="Times New Roman"/>
          <w:bCs/>
          <w:sz w:val="24"/>
          <w:szCs w:val="24"/>
        </w:rPr>
        <w:t xml:space="preserve">investigación </w:t>
      </w:r>
      <w:r w:rsidR="001F2A50" w:rsidRPr="001F2A50">
        <w:rPr>
          <w:rFonts w:ascii="Times New Roman" w:hAnsi="Times New Roman" w:cs="Times New Roman"/>
          <w:bCs/>
          <w:sz w:val="24"/>
          <w:szCs w:val="24"/>
        </w:rPr>
        <w:t>se</w:t>
      </w:r>
      <w:r w:rsidR="00057B97" w:rsidRPr="001F2A50">
        <w:rPr>
          <w:rFonts w:ascii="Times New Roman" w:hAnsi="Times New Roman" w:cs="Times New Roman"/>
          <w:bCs/>
          <w:sz w:val="24"/>
          <w:szCs w:val="24"/>
        </w:rPr>
        <w:t xml:space="preserve"> </w:t>
      </w:r>
      <w:r w:rsidR="001F2A50" w:rsidRPr="001F2A50">
        <w:rPr>
          <w:rFonts w:ascii="Times New Roman" w:hAnsi="Times New Roman" w:cs="Times New Roman"/>
          <w:bCs/>
          <w:sz w:val="24"/>
          <w:szCs w:val="24"/>
        </w:rPr>
        <w:t>aplicó una i</w:t>
      </w:r>
      <w:r w:rsidR="00057B97" w:rsidRPr="001F2A50">
        <w:rPr>
          <w:rFonts w:ascii="Times New Roman" w:hAnsi="Times New Roman" w:cs="Times New Roman"/>
          <w:bCs/>
          <w:sz w:val="24"/>
          <w:szCs w:val="24"/>
        </w:rPr>
        <w:t xml:space="preserve">nvestigación </w:t>
      </w:r>
      <w:r w:rsidR="001F2A50" w:rsidRPr="001F2A50">
        <w:rPr>
          <w:rFonts w:ascii="Times New Roman" w:hAnsi="Times New Roman" w:cs="Times New Roman"/>
          <w:bCs/>
          <w:sz w:val="24"/>
          <w:szCs w:val="24"/>
        </w:rPr>
        <w:t xml:space="preserve">descriptiva, con </w:t>
      </w:r>
      <w:r w:rsidR="001F2A50" w:rsidRPr="001F2A50">
        <w:rPr>
          <w:rFonts w:ascii="Times New Roman" w:hAnsi="Times New Roman" w:cs="Times New Roman"/>
          <w:sz w:val="24"/>
          <w:szCs w:val="24"/>
        </w:rPr>
        <w:t>corte transversal no experimental</w:t>
      </w:r>
      <w:r w:rsidR="001F2A50" w:rsidRPr="001F2A50">
        <w:rPr>
          <w:rFonts w:ascii="Times New Roman" w:hAnsi="Times New Roman" w:cs="Times New Roman"/>
          <w:sz w:val="24"/>
          <w:szCs w:val="24"/>
        </w:rPr>
        <w:t xml:space="preserve"> donde </w:t>
      </w:r>
      <w:r w:rsidR="001F2A50" w:rsidRPr="001F2A50">
        <w:rPr>
          <w:rFonts w:ascii="Times New Roman" w:hAnsi="Times New Roman" w:cs="Times New Roman"/>
          <w:sz w:val="24"/>
          <w:szCs w:val="24"/>
        </w:rPr>
        <w:t>s</w:t>
      </w:r>
      <w:r w:rsidR="001F2A50">
        <w:rPr>
          <w:rFonts w:ascii="Times New Roman" w:hAnsi="Times New Roman" w:cs="Times New Roman"/>
          <w:sz w:val="24"/>
          <w:szCs w:val="24"/>
        </w:rPr>
        <w:t>e</w:t>
      </w:r>
      <w:r w:rsidR="001F2A50" w:rsidRPr="001F2A50">
        <w:rPr>
          <w:rFonts w:ascii="Times New Roman" w:hAnsi="Times New Roman" w:cs="Times New Roman"/>
          <w:sz w:val="24"/>
          <w:szCs w:val="24"/>
        </w:rPr>
        <w:t xml:space="preserve"> observar los fenómenos tal como ocurren en su contexto natural</w:t>
      </w:r>
      <w:r w:rsidR="001F2A50" w:rsidRPr="001F2A50">
        <w:rPr>
          <w:rFonts w:ascii="Times New Roman" w:hAnsi="Times New Roman" w:cs="Times New Roman"/>
          <w:sz w:val="24"/>
          <w:szCs w:val="24"/>
        </w:rPr>
        <w:t>.</w:t>
      </w:r>
      <w:r w:rsidR="001F2A50" w:rsidRPr="001F2A50">
        <w:t xml:space="preserve"> </w:t>
      </w:r>
      <w:r w:rsidR="001F2A50" w:rsidRPr="001F2A50">
        <w:rPr>
          <w:rFonts w:ascii="Times New Roman" w:hAnsi="Times New Roman" w:cs="Times New Roman"/>
          <w:sz w:val="24"/>
          <w:szCs w:val="24"/>
        </w:rPr>
        <w:t>Finalmente, será correlacional porque buscará conocer aquellos elementos que forman parte de las variables y buscará comprender el grado de relación que puede darse entre dos variables</w:t>
      </w:r>
      <w:r w:rsidR="001F2A50">
        <w:rPr>
          <w:rFonts w:ascii="Times New Roman" w:hAnsi="Times New Roman" w:cs="Times New Roman"/>
          <w:sz w:val="24"/>
          <w:szCs w:val="24"/>
        </w:rPr>
        <w:t>.</w:t>
      </w:r>
    </w:p>
    <w:p w14:paraId="63E9AC5C" w14:textId="6558A8FA" w:rsidR="001F2A50" w:rsidRDefault="001F2A50" w:rsidP="007F3901">
      <w:pPr>
        <w:spacing w:after="0" w:line="480" w:lineRule="auto"/>
        <w:ind w:right="-285"/>
        <w:jc w:val="both"/>
        <w:rPr>
          <w:rFonts w:ascii="Times New Roman" w:hAnsi="Times New Roman" w:cs="Times New Roman"/>
          <w:bCs/>
          <w:sz w:val="24"/>
          <w:szCs w:val="24"/>
        </w:rPr>
      </w:pPr>
      <w:r w:rsidRPr="001F2A50">
        <w:rPr>
          <w:rFonts w:ascii="Times New Roman" w:hAnsi="Times New Roman" w:cs="Times New Roman"/>
          <w:bCs/>
          <w:sz w:val="24"/>
          <w:szCs w:val="24"/>
        </w:rPr>
        <w:t>La presente investigación tiene como universo de estudio a las personas que laboran en empresas mineras.</w:t>
      </w:r>
    </w:p>
    <w:p w14:paraId="615CA411" w14:textId="3A7A227B" w:rsidR="001F2A50" w:rsidRDefault="001F2A50" w:rsidP="007F3901">
      <w:pPr>
        <w:pStyle w:val="Default"/>
        <w:spacing w:line="480" w:lineRule="auto"/>
        <w:ind w:right="-285"/>
        <w:jc w:val="both"/>
        <w:rPr>
          <w:rFonts w:ascii="Times New Roman" w:hAnsi="Times New Roman" w:cs="Times New Roman"/>
          <w:color w:val="auto"/>
        </w:rPr>
      </w:pPr>
      <w:r w:rsidRPr="001F2A50">
        <w:rPr>
          <w:rFonts w:ascii="Times New Roman" w:hAnsi="Times New Roman" w:cs="Times New Roman"/>
          <w:color w:val="auto"/>
        </w:rPr>
        <w:t>El tamaño de la población para la presente investigación estará conformado por un total de 100 personas que laboran en las empresas mineras del Perú.</w:t>
      </w:r>
    </w:p>
    <w:p w14:paraId="6F92F3E7" w14:textId="77777777" w:rsidR="001F2A50" w:rsidRDefault="003123C3" w:rsidP="007F3901">
      <w:pPr>
        <w:pStyle w:val="Default"/>
        <w:spacing w:line="480" w:lineRule="auto"/>
        <w:ind w:right="-285"/>
        <w:jc w:val="both"/>
        <w:rPr>
          <w:rFonts w:ascii="Times New Roman" w:hAnsi="Times New Roman" w:cs="Times New Roman"/>
          <w:color w:val="auto"/>
        </w:rPr>
      </w:pPr>
      <w:r w:rsidRPr="007F3901">
        <w:rPr>
          <w:rFonts w:ascii="Times New Roman" w:hAnsi="Times New Roman" w:cs="Times New Roman"/>
          <w:color w:val="auto"/>
        </w:rPr>
        <w:t xml:space="preserve">La técnica para la </w:t>
      </w:r>
      <w:r w:rsidR="009F3072" w:rsidRPr="007F3901">
        <w:rPr>
          <w:rFonts w:ascii="Times New Roman" w:hAnsi="Times New Roman" w:cs="Times New Roman"/>
          <w:color w:val="auto"/>
        </w:rPr>
        <w:t xml:space="preserve">recolección de datos </w:t>
      </w:r>
      <w:r w:rsidRPr="007F3901">
        <w:rPr>
          <w:rFonts w:ascii="Times New Roman" w:hAnsi="Times New Roman" w:cs="Times New Roman"/>
          <w:color w:val="auto"/>
        </w:rPr>
        <w:t xml:space="preserve">corresponde a </w:t>
      </w:r>
      <w:r w:rsidR="009F3072" w:rsidRPr="007F3901">
        <w:rPr>
          <w:rFonts w:ascii="Times New Roman" w:hAnsi="Times New Roman" w:cs="Times New Roman"/>
          <w:color w:val="auto"/>
        </w:rPr>
        <w:t>la</w:t>
      </w:r>
      <w:r w:rsidR="00004810" w:rsidRPr="007F3901">
        <w:rPr>
          <w:rFonts w:ascii="Times New Roman" w:hAnsi="Times New Roman" w:cs="Times New Roman"/>
          <w:color w:val="auto"/>
        </w:rPr>
        <w:t xml:space="preserve"> Para la Variable (X): </w:t>
      </w:r>
      <w:r w:rsidR="001F2A50">
        <w:rPr>
          <w:rFonts w:ascii="Times New Roman" w:hAnsi="Times New Roman" w:cs="Times New Roman"/>
          <w:color w:val="auto"/>
        </w:rPr>
        <w:t>Principios de desarrollo</w:t>
      </w:r>
      <w:r w:rsidR="00057B97" w:rsidRPr="007F3901">
        <w:rPr>
          <w:rFonts w:ascii="Times New Roman" w:hAnsi="Times New Roman" w:cs="Times New Roman"/>
          <w:color w:val="auto"/>
        </w:rPr>
        <w:t xml:space="preserve"> – </w:t>
      </w:r>
      <w:r w:rsidR="001F2A50" w:rsidRPr="001F2A50">
        <w:rPr>
          <w:rFonts w:ascii="Times New Roman" w:hAnsi="Times New Roman" w:cs="Times New Roman"/>
          <w:color w:val="auto"/>
        </w:rPr>
        <w:t xml:space="preserve">recolección de datos </w:t>
      </w:r>
    </w:p>
    <w:p w14:paraId="4A732E7D" w14:textId="6907E96D" w:rsidR="001F2A50" w:rsidRDefault="00004810" w:rsidP="007F3901">
      <w:pPr>
        <w:pStyle w:val="Default"/>
        <w:spacing w:line="480" w:lineRule="auto"/>
        <w:ind w:right="-285"/>
        <w:jc w:val="both"/>
        <w:rPr>
          <w:rFonts w:ascii="Times New Roman" w:hAnsi="Times New Roman" w:cs="Times New Roman"/>
          <w:color w:val="auto"/>
        </w:rPr>
      </w:pPr>
      <w:r w:rsidRPr="007F3901">
        <w:rPr>
          <w:rFonts w:ascii="Times New Roman" w:hAnsi="Times New Roman" w:cs="Times New Roman"/>
          <w:color w:val="auto"/>
        </w:rPr>
        <w:t xml:space="preserve">La técnica para la recolección de datos corresponde a la Para la Variable (Y): </w:t>
      </w:r>
      <w:r w:rsidR="001F2A50">
        <w:rPr>
          <w:rFonts w:ascii="Times New Roman" w:hAnsi="Times New Roman" w:cs="Times New Roman"/>
          <w:color w:val="auto"/>
        </w:rPr>
        <w:t>Políticas de desarrollo sostenible en la minería</w:t>
      </w:r>
      <w:r w:rsidR="00057B97" w:rsidRPr="007F3901">
        <w:rPr>
          <w:rFonts w:ascii="Times New Roman" w:hAnsi="Times New Roman" w:cs="Times New Roman"/>
          <w:color w:val="auto"/>
        </w:rPr>
        <w:t xml:space="preserve"> – </w:t>
      </w:r>
      <w:r w:rsidR="001F2A50" w:rsidRPr="001F2A50">
        <w:rPr>
          <w:rFonts w:ascii="Times New Roman" w:hAnsi="Times New Roman" w:cs="Times New Roman"/>
          <w:color w:val="auto"/>
        </w:rPr>
        <w:t xml:space="preserve">recolección de datos </w:t>
      </w:r>
    </w:p>
    <w:p w14:paraId="12207FC1" w14:textId="1A18F4C7" w:rsidR="00004810" w:rsidRPr="007F3901" w:rsidRDefault="00004810" w:rsidP="007F3901">
      <w:pPr>
        <w:pStyle w:val="Default"/>
        <w:spacing w:line="480" w:lineRule="auto"/>
        <w:ind w:right="-285"/>
        <w:jc w:val="both"/>
        <w:rPr>
          <w:rFonts w:ascii="Times New Roman" w:hAnsi="Times New Roman" w:cs="Times New Roman"/>
          <w:color w:val="auto"/>
        </w:rPr>
      </w:pPr>
      <w:r w:rsidRPr="007F3901">
        <w:rPr>
          <w:rFonts w:ascii="Times New Roman" w:hAnsi="Times New Roman" w:cs="Times New Roman"/>
          <w:color w:val="auto"/>
        </w:rPr>
        <w:t>Procedimiento: se consideró:</w:t>
      </w:r>
    </w:p>
    <w:p w14:paraId="236AC280" w14:textId="19B3F69A" w:rsidR="001F2A50" w:rsidRPr="001F2A50" w:rsidRDefault="001F2A50" w:rsidP="001F2A50">
      <w:pPr>
        <w:pStyle w:val="Default"/>
        <w:spacing w:line="480" w:lineRule="auto"/>
        <w:ind w:right="-285"/>
        <w:jc w:val="both"/>
        <w:rPr>
          <w:rFonts w:ascii="Times New Roman" w:hAnsi="Times New Roman" w:cs="Times New Roman"/>
          <w:color w:val="auto"/>
        </w:rPr>
      </w:pPr>
      <w:r w:rsidRPr="001F2A50">
        <w:rPr>
          <w:rFonts w:ascii="Times New Roman" w:hAnsi="Times New Roman" w:cs="Times New Roman"/>
          <w:color w:val="auto"/>
        </w:rPr>
        <w:t>En el procesamiento de datos se utilizó el software estadístico denominado SPSS</w:t>
      </w:r>
      <w:r>
        <w:rPr>
          <w:rFonts w:ascii="Times New Roman" w:hAnsi="Times New Roman" w:cs="Times New Roman"/>
          <w:color w:val="auto"/>
        </w:rPr>
        <w:t>,</w:t>
      </w:r>
      <w:r w:rsidRPr="001F2A50">
        <w:rPr>
          <w:rFonts w:ascii="Times New Roman" w:hAnsi="Times New Roman" w:cs="Times New Roman"/>
          <w:color w:val="auto"/>
        </w:rPr>
        <w:t xml:space="preserve"> versión 25, estadística descriptiva a través de tablas de frecuencias y diagramas de barras.</w:t>
      </w:r>
    </w:p>
    <w:p w14:paraId="51B45F46" w14:textId="77777777" w:rsidR="001F2A50" w:rsidRPr="001F2A50" w:rsidRDefault="001F2A50" w:rsidP="001F2A50">
      <w:pPr>
        <w:pStyle w:val="Default"/>
        <w:spacing w:line="480" w:lineRule="auto"/>
        <w:ind w:right="-285"/>
        <w:jc w:val="both"/>
        <w:rPr>
          <w:rFonts w:ascii="Times New Roman" w:hAnsi="Times New Roman" w:cs="Times New Roman"/>
          <w:color w:val="auto"/>
        </w:rPr>
      </w:pPr>
      <w:r w:rsidRPr="001F2A50">
        <w:rPr>
          <w:rFonts w:ascii="Times New Roman" w:hAnsi="Times New Roman" w:cs="Times New Roman"/>
          <w:color w:val="auto"/>
        </w:rPr>
        <w:t>• Se iniciará con la selección de población y muestra.</w:t>
      </w:r>
    </w:p>
    <w:p w14:paraId="0FB7D1CE" w14:textId="77777777" w:rsidR="001F2A50" w:rsidRPr="001F2A50" w:rsidRDefault="001F2A50" w:rsidP="001F2A50">
      <w:pPr>
        <w:pStyle w:val="Default"/>
        <w:spacing w:line="480" w:lineRule="auto"/>
        <w:ind w:right="-285"/>
        <w:jc w:val="both"/>
        <w:rPr>
          <w:rFonts w:ascii="Times New Roman" w:hAnsi="Times New Roman" w:cs="Times New Roman"/>
          <w:color w:val="auto"/>
        </w:rPr>
      </w:pPr>
      <w:r w:rsidRPr="001F2A50">
        <w:rPr>
          <w:rFonts w:ascii="Times New Roman" w:hAnsi="Times New Roman" w:cs="Times New Roman"/>
          <w:color w:val="auto"/>
        </w:rPr>
        <w:t>• Se seleccionará una muestra aleatoria y se le pedirá que complete los cuestionarios para obtener información relevante para el desarrollo de la propuesta.</w:t>
      </w:r>
    </w:p>
    <w:p w14:paraId="19F8895B" w14:textId="77777777" w:rsidR="001F2A50" w:rsidRPr="001F2A50" w:rsidRDefault="001F2A50" w:rsidP="001F2A50">
      <w:pPr>
        <w:pStyle w:val="Default"/>
        <w:spacing w:line="480" w:lineRule="auto"/>
        <w:ind w:right="-285"/>
        <w:jc w:val="both"/>
        <w:rPr>
          <w:rFonts w:ascii="Times New Roman" w:hAnsi="Times New Roman" w:cs="Times New Roman"/>
          <w:color w:val="auto"/>
        </w:rPr>
      </w:pPr>
      <w:r w:rsidRPr="001F2A50">
        <w:rPr>
          <w:rFonts w:ascii="Times New Roman" w:hAnsi="Times New Roman" w:cs="Times New Roman"/>
          <w:color w:val="auto"/>
        </w:rPr>
        <w:t>• Posteriormente, se tabulará en SPSS y Microsoft Excel, previa elaboración de la hoja de cálculo de la base de datos.</w:t>
      </w:r>
    </w:p>
    <w:p w14:paraId="7B1FB38F" w14:textId="757A0008" w:rsidR="00004810" w:rsidRDefault="001F2A50" w:rsidP="001F2A50">
      <w:pPr>
        <w:pStyle w:val="Default"/>
        <w:spacing w:line="480" w:lineRule="auto"/>
        <w:ind w:right="-285"/>
        <w:jc w:val="both"/>
        <w:rPr>
          <w:rFonts w:ascii="Times New Roman" w:hAnsi="Times New Roman" w:cs="Times New Roman"/>
          <w:color w:val="auto"/>
        </w:rPr>
      </w:pPr>
      <w:r w:rsidRPr="001F2A50">
        <w:rPr>
          <w:rFonts w:ascii="Times New Roman" w:hAnsi="Times New Roman" w:cs="Times New Roman"/>
          <w:color w:val="auto"/>
        </w:rPr>
        <w:t>• Finalmente, se interpretarán los resultados para obtener una visión general de la situación actual y se podrá desarrollar la propuesta en consecuencia.</w:t>
      </w:r>
    </w:p>
    <w:p w14:paraId="3F5EA3B1" w14:textId="0FE2CEE2" w:rsidR="001F2A50" w:rsidRDefault="00004810" w:rsidP="001F2A50">
      <w:pPr>
        <w:pStyle w:val="Default"/>
        <w:spacing w:line="480" w:lineRule="auto"/>
        <w:ind w:right="-285"/>
        <w:jc w:val="both"/>
        <w:rPr>
          <w:rFonts w:ascii="Times New Roman" w:eastAsia="Calibri" w:hAnsi="Times New Roman" w:cs="Times New Roman"/>
        </w:rPr>
      </w:pPr>
      <w:r w:rsidRPr="007F3901">
        <w:rPr>
          <w:rFonts w:ascii="Times New Roman" w:hAnsi="Times New Roman" w:cs="Times New Roman"/>
          <w:b/>
          <w:bCs/>
          <w:color w:val="auto"/>
        </w:rPr>
        <w:t xml:space="preserve">Análisis de Datos: </w:t>
      </w:r>
      <w:r w:rsidR="001F2A50" w:rsidRPr="001F2A50">
        <w:rPr>
          <w:rFonts w:ascii="Times New Roman" w:eastAsia="Calibri" w:hAnsi="Times New Roman" w:cs="Times New Roman"/>
        </w:rPr>
        <w:t>se basa en función a tablas y graficas obtenidos del procesamiento de datos y los resultados son analizados y comparados con otras investigaciones.</w:t>
      </w:r>
    </w:p>
    <w:p w14:paraId="57F80B7E" w14:textId="77777777" w:rsidR="009F3072" w:rsidRPr="007F3901" w:rsidRDefault="009F3072" w:rsidP="00A95271">
      <w:pPr>
        <w:spacing w:after="0" w:line="480" w:lineRule="auto"/>
        <w:jc w:val="both"/>
        <w:rPr>
          <w:rFonts w:ascii="Times New Roman" w:hAnsi="Times New Roman" w:cs="Times New Roman"/>
          <w:b/>
          <w:sz w:val="24"/>
          <w:szCs w:val="24"/>
        </w:rPr>
      </w:pPr>
      <w:r w:rsidRPr="007F3901">
        <w:rPr>
          <w:rFonts w:ascii="Times New Roman" w:hAnsi="Times New Roman" w:cs="Times New Roman"/>
          <w:b/>
          <w:sz w:val="24"/>
          <w:szCs w:val="24"/>
        </w:rPr>
        <w:t>RESULTADOS</w:t>
      </w:r>
    </w:p>
    <w:p w14:paraId="4F94DAA9" w14:textId="77777777" w:rsidR="00EB5E7F" w:rsidRPr="00EB5E7F" w:rsidRDefault="00EB5E7F" w:rsidP="006D133C">
      <w:pPr>
        <w:spacing w:after="0" w:line="480" w:lineRule="auto"/>
        <w:jc w:val="both"/>
        <w:outlineLvl w:val="1"/>
        <w:rPr>
          <w:rFonts w:ascii="Times New Roman" w:eastAsia="Calibri" w:hAnsi="Times New Roman" w:cs="Times New Roman"/>
          <w:b/>
          <w:sz w:val="24"/>
          <w:szCs w:val="22"/>
        </w:rPr>
      </w:pPr>
      <w:r w:rsidRPr="00EB5E7F">
        <w:rPr>
          <w:rFonts w:ascii="Times New Roman" w:eastAsia="Calibri" w:hAnsi="Times New Roman" w:cs="Times New Roman"/>
          <w:b/>
          <w:sz w:val="24"/>
          <w:szCs w:val="22"/>
        </w:rPr>
        <w:t xml:space="preserve">Análisis inferencial </w:t>
      </w:r>
    </w:p>
    <w:p w14:paraId="1C95618F" w14:textId="77777777" w:rsidR="00EB5E7F" w:rsidRPr="00EB5E7F" w:rsidRDefault="00EB5E7F" w:rsidP="00EB5E7F">
      <w:pPr>
        <w:spacing w:after="0" w:line="480" w:lineRule="auto"/>
        <w:ind w:firstLine="720"/>
        <w:contextualSpacing/>
        <w:jc w:val="both"/>
        <w:rPr>
          <w:rFonts w:ascii="Times New Roman" w:eastAsia="Calibri" w:hAnsi="Times New Roman" w:cs="Times New Roman"/>
          <w:b/>
          <w:sz w:val="24"/>
          <w:szCs w:val="24"/>
        </w:rPr>
      </w:pPr>
      <w:r w:rsidRPr="00EB5E7F">
        <w:rPr>
          <w:rFonts w:ascii="Times New Roman" w:eastAsia="Calibri" w:hAnsi="Times New Roman" w:cs="Times New Roman"/>
          <w:b/>
          <w:sz w:val="24"/>
          <w:szCs w:val="24"/>
        </w:rPr>
        <w:t xml:space="preserve">Hipótesis general </w:t>
      </w:r>
    </w:p>
    <w:p w14:paraId="29CC6E76" w14:textId="77777777" w:rsidR="00EB5E7F" w:rsidRPr="00EB5E7F" w:rsidRDefault="00EB5E7F" w:rsidP="00EB5E7F">
      <w:pPr>
        <w:spacing w:after="0" w:line="480" w:lineRule="auto"/>
        <w:ind w:firstLine="720"/>
        <w:contextualSpacing/>
        <w:jc w:val="both"/>
        <w:rPr>
          <w:rFonts w:ascii="Times New Roman" w:eastAsia="Calibri" w:hAnsi="Times New Roman" w:cs="Times New Roman"/>
          <w:b/>
          <w:sz w:val="24"/>
          <w:szCs w:val="24"/>
        </w:rPr>
      </w:pPr>
      <w:r w:rsidRPr="00EB5E7F">
        <w:rPr>
          <w:rFonts w:ascii="Times New Roman" w:eastAsia="Calibri" w:hAnsi="Times New Roman" w:cs="Times New Roman"/>
          <w:b/>
          <w:sz w:val="24"/>
          <w:szCs w:val="24"/>
        </w:rPr>
        <w:t xml:space="preserve">Ho: </w:t>
      </w:r>
      <w:r w:rsidRPr="00EB5E7F">
        <w:rPr>
          <w:rFonts w:ascii="Times New Roman" w:eastAsia="Times New Roman" w:hAnsi="Times New Roman" w:cs="Times New Roman"/>
          <w:sz w:val="24"/>
          <w:szCs w:val="24"/>
          <w:lang w:eastAsia="es-PE"/>
        </w:rPr>
        <w:t>Los principios de desarrollo sostenible como herramienta para los CMA no se relacionan con las políticas de desarrollo sostenible en la minería peruana.</w:t>
      </w:r>
    </w:p>
    <w:p w14:paraId="22B67199" w14:textId="77777777" w:rsidR="00EB5E7F" w:rsidRPr="00EB5E7F" w:rsidRDefault="00EB5E7F" w:rsidP="00EB5E7F">
      <w:pPr>
        <w:spacing w:after="0" w:line="480" w:lineRule="auto"/>
        <w:ind w:firstLine="720"/>
        <w:contextualSpacing/>
        <w:jc w:val="both"/>
        <w:rPr>
          <w:rFonts w:ascii="Times New Roman" w:eastAsia="Calibri" w:hAnsi="Times New Roman" w:cs="Times New Roman"/>
          <w:b/>
          <w:sz w:val="24"/>
          <w:szCs w:val="24"/>
        </w:rPr>
      </w:pPr>
      <w:r w:rsidRPr="00EB5E7F">
        <w:rPr>
          <w:rFonts w:ascii="Times New Roman" w:eastAsia="Calibri" w:hAnsi="Times New Roman" w:cs="Times New Roman"/>
          <w:b/>
          <w:sz w:val="24"/>
          <w:szCs w:val="24"/>
        </w:rPr>
        <w:t>Ha:</w:t>
      </w:r>
      <w:r w:rsidRPr="00EB5E7F">
        <w:rPr>
          <w:rFonts w:ascii="Times New Roman" w:eastAsia="Calibri" w:hAnsi="Times New Roman" w:cs="Times New Roman"/>
          <w:sz w:val="24"/>
          <w:szCs w:val="24"/>
        </w:rPr>
        <w:t xml:space="preserve"> </w:t>
      </w:r>
      <w:r w:rsidRPr="00EB5E7F">
        <w:rPr>
          <w:rFonts w:ascii="Times New Roman" w:eastAsia="Times New Roman" w:hAnsi="Times New Roman" w:cs="Times New Roman"/>
          <w:sz w:val="24"/>
          <w:szCs w:val="24"/>
          <w:lang w:eastAsia="es-PE"/>
        </w:rPr>
        <w:t>Los principios de desarrollo sostenible como herramienta para los CMA se relacionan con las políticas de desarrollo sostenible en la minería peruana.</w:t>
      </w:r>
    </w:p>
    <w:p w14:paraId="4C30AE0F" w14:textId="2D70341D" w:rsidR="00EB5E7F" w:rsidRPr="00EB5E7F" w:rsidRDefault="00EB5E7F" w:rsidP="006D133C">
      <w:pPr>
        <w:keepNext/>
        <w:spacing w:after="0" w:line="240" w:lineRule="auto"/>
        <w:ind w:left="142"/>
        <w:jc w:val="both"/>
        <w:rPr>
          <w:rFonts w:ascii="Times New Roman" w:eastAsia="Calibri" w:hAnsi="Times New Roman" w:cs="Times New Roman"/>
          <w:bCs/>
          <w:i/>
          <w:iCs/>
          <w:sz w:val="18"/>
          <w:szCs w:val="18"/>
        </w:rPr>
      </w:pPr>
      <w:bookmarkStart w:id="3" w:name="_Toc33086453"/>
      <w:bookmarkStart w:id="4" w:name="_Toc33086632"/>
      <w:bookmarkStart w:id="5" w:name="_Toc95394728"/>
      <w:r w:rsidRPr="00EB5E7F">
        <w:rPr>
          <w:rFonts w:ascii="Times New Roman" w:eastAsia="Calibri" w:hAnsi="Times New Roman" w:cs="Times New Roman"/>
          <w:b/>
          <w:iCs/>
          <w:sz w:val="22"/>
          <w:szCs w:val="22"/>
        </w:rPr>
        <w:t>Tabla</w:t>
      </w:r>
      <w:r w:rsidR="006D133C">
        <w:rPr>
          <w:rFonts w:ascii="Times New Roman" w:eastAsia="Calibri" w:hAnsi="Times New Roman" w:cs="Times New Roman"/>
          <w:b/>
          <w:iCs/>
          <w:sz w:val="22"/>
          <w:szCs w:val="22"/>
        </w:rPr>
        <w:tab/>
        <w:t>1</w:t>
      </w:r>
      <w:r w:rsidRPr="00EB5E7F">
        <w:rPr>
          <w:rFonts w:ascii="Times New Roman" w:eastAsia="Calibri" w:hAnsi="Times New Roman" w:cs="Times New Roman"/>
          <w:b/>
          <w:iCs/>
          <w:sz w:val="22"/>
          <w:szCs w:val="22"/>
        </w:rPr>
        <w:t xml:space="preserve">: </w:t>
      </w:r>
      <w:r w:rsidRPr="00EB5E7F">
        <w:rPr>
          <w:rFonts w:ascii="Times New Roman" w:eastAsia="Calibri" w:hAnsi="Times New Roman" w:cs="Times New Roman"/>
          <w:b/>
          <w:iCs/>
          <w:sz w:val="22"/>
          <w:szCs w:val="22"/>
        </w:rPr>
        <w:br/>
      </w:r>
      <w:r w:rsidRPr="00EB5E7F">
        <w:rPr>
          <w:rFonts w:ascii="Times New Roman" w:eastAsia="Calibri" w:hAnsi="Times New Roman" w:cs="Times New Roman"/>
          <w:i/>
          <w:iCs/>
          <w:sz w:val="22"/>
          <w:szCs w:val="22"/>
        </w:rPr>
        <w:t xml:space="preserve">Correlación entre </w:t>
      </w:r>
      <w:bookmarkEnd w:id="3"/>
      <w:bookmarkEnd w:id="4"/>
      <w:r w:rsidRPr="00EB5E7F">
        <w:rPr>
          <w:rFonts w:ascii="Times New Roman" w:eastAsia="Calibri" w:hAnsi="Times New Roman" w:cs="Times New Roman"/>
          <w:bCs/>
          <w:i/>
          <w:iCs/>
          <w:sz w:val="22"/>
          <w:szCs w:val="22"/>
        </w:rPr>
        <w:t>los principios de desarrollo sostenible como herramienta para los CMA y las políticas de desarrollo sostenible en la minería peruana.</w:t>
      </w:r>
      <w:bookmarkEnd w:id="5"/>
    </w:p>
    <w:tbl>
      <w:tblPr>
        <w:tblW w:w="795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7"/>
        <w:gridCol w:w="1698"/>
        <w:gridCol w:w="1701"/>
        <w:gridCol w:w="1843"/>
        <w:gridCol w:w="1579"/>
      </w:tblGrid>
      <w:tr w:rsidR="00EB5E7F" w:rsidRPr="00EB5E7F" w14:paraId="1B7A88F3" w14:textId="77777777" w:rsidTr="00E62D63">
        <w:trPr>
          <w:cantSplit/>
        </w:trPr>
        <w:tc>
          <w:tcPr>
            <w:tcW w:w="4536" w:type="dxa"/>
            <w:gridSpan w:val="3"/>
            <w:tcBorders>
              <w:top w:val="nil"/>
              <w:left w:val="nil"/>
              <w:bottom w:val="single" w:sz="8" w:space="0" w:color="152935"/>
              <w:right w:val="nil"/>
            </w:tcBorders>
            <w:shd w:val="clear" w:color="auto" w:fill="auto"/>
            <w:vAlign w:val="bottom"/>
          </w:tcPr>
          <w:p w14:paraId="02924720"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top w:val="nil"/>
              <w:left w:val="nil"/>
              <w:bottom w:val="single" w:sz="8" w:space="0" w:color="152935"/>
              <w:right w:val="single" w:sz="8" w:space="0" w:color="E0E0E0"/>
            </w:tcBorders>
            <w:shd w:val="clear" w:color="auto" w:fill="auto"/>
            <w:vAlign w:val="bottom"/>
          </w:tcPr>
          <w:p w14:paraId="40BF49A7"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Principios de desarrollo sostenible como herramienta para los CMA</w:t>
            </w:r>
          </w:p>
        </w:tc>
        <w:tc>
          <w:tcPr>
            <w:tcW w:w="1579" w:type="dxa"/>
            <w:tcBorders>
              <w:top w:val="nil"/>
              <w:left w:val="single" w:sz="8" w:space="0" w:color="E0E0E0"/>
              <w:bottom w:val="single" w:sz="8" w:space="0" w:color="152935"/>
              <w:right w:val="nil"/>
            </w:tcBorders>
            <w:shd w:val="clear" w:color="auto" w:fill="auto"/>
            <w:vAlign w:val="center"/>
          </w:tcPr>
          <w:p w14:paraId="057959E6"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r>
      <w:tr w:rsidR="00EB5E7F" w:rsidRPr="00EB5E7F" w14:paraId="7D9D7268" w14:textId="77777777" w:rsidTr="00E62D63">
        <w:trPr>
          <w:cantSplit/>
        </w:trPr>
        <w:tc>
          <w:tcPr>
            <w:tcW w:w="1137" w:type="dxa"/>
            <w:vMerge w:val="restart"/>
            <w:tcBorders>
              <w:top w:val="single" w:sz="8" w:space="0" w:color="152935"/>
              <w:left w:val="nil"/>
              <w:bottom w:val="single" w:sz="8" w:space="0" w:color="152935"/>
              <w:right w:val="nil"/>
            </w:tcBorders>
            <w:shd w:val="clear" w:color="auto" w:fill="auto"/>
          </w:tcPr>
          <w:p w14:paraId="46E4953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Rho de Spearman</w:t>
            </w:r>
          </w:p>
        </w:tc>
        <w:tc>
          <w:tcPr>
            <w:tcW w:w="1698" w:type="dxa"/>
            <w:vMerge w:val="restart"/>
            <w:tcBorders>
              <w:top w:val="single" w:sz="8" w:space="0" w:color="152935"/>
              <w:left w:val="nil"/>
              <w:bottom w:val="nil"/>
              <w:right w:val="nil"/>
            </w:tcBorders>
            <w:shd w:val="clear" w:color="auto" w:fill="auto"/>
            <w:vAlign w:val="center"/>
          </w:tcPr>
          <w:p w14:paraId="4A3C3425"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Principios de desarrollo sostenible como herramienta para los CMA</w:t>
            </w:r>
          </w:p>
        </w:tc>
        <w:tc>
          <w:tcPr>
            <w:tcW w:w="1701" w:type="dxa"/>
            <w:tcBorders>
              <w:top w:val="single" w:sz="8" w:space="0" w:color="152935"/>
              <w:left w:val="nil"/>
              <w:bottom w:val="single" w:sz="8" w:space="0" w:color="AEAEAE"/>
              <w:right w:val="nil"/>
            </w:tcBorders>
            <w:shd w:val="clear" w:color="auto" w:fill="auto"/>
          </w:tcPr>
          <w:p w14:paraId="02A943E4"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1843" w:type="dxa"/>
            <w:tcBorders>
              <w:top w:val="single" w:sz="8" w:space="0" w:color="152935"/>
              <w:left w:val="nil"/>
              <w:bottom w:val="single" w:sz="8" w:space="0" w:color="AEAEAE"/>
              <w:right w:val="single" w:sz="8" w:space="0" w:color="E0E0E0"/>
            </w:tcBorders>
            <w:shd w:val="clear" w:color="auto" w:fill="auto"/>
          </w:tcPr>
          <w:p w14:paraId="329E2A24"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c>
          <w:tcPr>
            <w:tcW w:w="1579" w:type="dxa"/>
            <w:tcBorders>
              <w:top w:val="single" w:sz="8" w:space="0" w:color="152935"/>
              <w:left w:val="single" w:sz="8" w:space="0" w:color="E0E0E0"/>
              <w:bottom w:val="single" w:sz="8" w:space="0" w:color="AEAEAE"/>
              <w:right w:val="nil"/>
            </w:tcBorders>
            <w:shd w:val="clear" w:color="auto" w:fill="auto"/>
          </w:tcPr>
          <w:p w14:paraId="78C37647"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,538</w:t>
            </w:r>
          </w:p>
        </w:tc>
      </w:tr>
      <w:tr w:rsidR="00EB5E7F" w:rsidRPr="00EB5E7F" w14:paraId="7579E44B"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1C3B0049"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98" w:type="dxa"/>
            <w:vMerge/>
            <w:tcBorders>
              <w:top w:val="single" w:sz="8" w:space="0" w:color="152935"/>
              <w:left w:val="nil"/>
              <w:bottom w:val="nil"/>
              <w:right w:val="nil"/>
            </w:tcBorders>
            <w:shd w:val="clear" w:color="auto" w:fill="auto"/>
            <w:vAlign w:val="center"/>
          </w:tcPr>
          <w:p w14:paraId="1E86B7C7"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01" w:type="dxa"/>
            <w:tcBorders>
              <w:top w:val="single" w:sz="8" w:space="0" w:color="AEAEAE"/>
              <w:left w:val="nil"/>
              <w:bottom w:val="single" w:sz="8" w:space="0" w:color="AEAEAE"/>
              <w:right w:val="nil"/>
            </w:tcBorders>
            <w:shd w:val="clear" w:color="auto" w:fill="auto"/>
          </w:tcPr>
          <w:p w14:paraId="31451D2B"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1843" w:type="dxa"/>
            <w:tcBorders>
              <w:top w:val="single" w:sz="8" w:space="0" w:color="AEAEAE"/>
              <w:left w:val="nil"/>
              <w:bottom w:val="single" w:sz="8" w:space="0" w:color="AEAEAE"/>
              <w:right w:val="single" w:sz="8" w:space="0" w:color="E0E0E0"/>
            </w:tcBorders>
            <w:shd w:val="clear" w:color="auto" w:fill="auto"/>
          </w:tcPr>
          <w:p w14:paraId="437CC63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c>
          <w:tcPr>
            <w:tcW w:w="1579" w:type="dxa"/>
            <w:tcBorders>
              <w:top w:val="single" w:sz="8" w:space="0" w:color="AEAEAE"/>
              <w:left w:val="single" w:sz="8" w:space="0" w:color="E0E0E0"/>
              <w:bottom w:val="single" w:sz="8" w:space="0" w:color="AEAEAE"/>
              <w:right w:val="nil"/>
            </w:tcBorders>
            <w:shd w:val="clear" w:color="auto" w:fill="auto"/>
          </w:tcPr>
          <w:p w14:paraId="24CD5D1D"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,004</w:t>
            </w:r>
          </w:p>
        </w:tc>
      </w:tr>
      <w:tr w:rsidR="00EB5E7F" w:rsidRPr="00EB5E7F" w14:paraId="522513C9"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60380B61"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98" w:type="dxa"/>
            <w:vMerge/>
            <w:tcBorders>
              <w:top w:val="single" w:sz="8" w:space="0" w:color="152935"/>
              <w:left w:val="nil"/>
              <w:bottom w:val="nil"/>
              <w:right w:val="nil"/>
            </w:tcBorders>
            <w:shd w:val="clear" w:color="auto" w:fill="auto"/>
            <w:vAlign w:val="center"/>
          </w:tcPr>
          <w:p w14:paraId="61196513"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01" w:type="dxa"/>
            <w:tcBorders>
              <w:top w:val="single" w:sz="8" w:space="0" w:color="AEAEAE"/>
              <w:left w:val="nil"/>
              <w:bottom w:val="nil"/>
              <w:right w:val="nil"/>
            </w:tcBorders>
            <w:shd w:val="clear" w:color="auto" w:fill="auto"/>
          </w:tcPr>
          <w:p w14:paraId="264765C4"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1843" w:type="dxa"/>
            <w:tcBorders>
              <w:top w:val="single" w:sz="8" w:space="0" w:color="AEAEAE"/>
              <w:left w:val="nil"/>
              <w:bottom w:val="nil"/>
              <w:right w:val="single" w:sz="8" w:space="0" w:color="E0E0E0"/>
            </w:tcBorders>
            <w:shd w:val="clear" w:color="auto" w:fill="auto"/>
          </w:tcPr>
          <w:p w14:paraId="1C17DE35"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579" w:type="dxa"/>
            <w:tcBorders>
              <w:top w:val="single" w:sz="8" w:space="0" w:color="AEAEAE"/>
              <w:left w:val="single" w:sz="8" w:space="0" w:color="E0E0E0"/>
              <w:bottom w:val="nil"/>
              <w:right w:val="nil"/>
            </w:tcBorders>
            <w:shd w:val="clear" w:color="auto" w:fill="auto"/>
          </w:tcPr>
          <w:p w14:paraId="5AB44E1A"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7357B97C"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7374E5C6"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98" w:type="dxa"/>
            <w:vMerge w:val="restart"/>
            <w:tcBorders>
              <w:top w:val="single" w:sz="8" w:space="0" w:color="AEAEAE"/>
              <w:left w:val="nil"/>
              <w:bottom w:val="single" w:sz="8" w:space="0" w:color="152935"/>
              <w:right w:val="nil"/>
            </w:tcBorders>
            <w:shd w:val="clear" w:color="auto" w:fill="auto"/>
            <w:vAlign w:val="center"/>
          </w:tcPr>
          <w:p w14:paraId="669FE26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c>
          <w:tcPr>
            <w:tcW w:w="1701" w:type="dxa"/>
            <w:tcBorders>
              <w:top w:val="single" w:sz="8" w:space="0" w:color="AEAEAE"/>
              <w:left w:val="nil"/>
              <w:bottom w:val="single" w:sz="8" w:space="0" w:color="AEAEAE"/>
              <w:right w:val="nil"/>
            </w:tcBorders>
            <w:shd w:val="clear" w:color="auto" w:fill="auto"/>
          </w:tcPr>
          <w:p w14:paraId="1EBC6A0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1843" w:type="dxa"/>
            <w:tcBorders>
              <w:top w:val="single" w:sz="8" w:space="0" w:color="AEAEAE"/>
              <w:left w:val="nil"/>
              <w:bottom w:val="single" w:sz="8" w:space="0" w:color="AEAEAE"/>
              <w:right w:val="single" w:sz="8" w:space="0" w:color="E0E0E0"/>
            </w:tcBorders>
            <w:shd w:val="clear" w:color="auto" w:fill="auto"/>
          </w:tcPr>
          <w:p w14:paraId="3D3D1AC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,538</w:t>
            </w:r>
          </w:p>
        </w:tc>
        <w:tc>
          <w:tcPr>
            <w:tcW w:w="1579" w:type="dxa"/>
            <w:tcBorders>
              <w:top w:val="single" w:sz="8" w:space="0" w:color="AEAEAE"/>
              <w:left w:val="single" w:sz="8" w:space="0" w:color="E0E0E0"/>
              <w:bottom w:val="single" w:sz="8" w:space="0" w:color="AEAEAE"/>
              <w:right w:val="nil"/>
            </w:tcBorders>
            <w:shd w:val="clear" w:color="auto" w:fill="auto"/>
          </w:tcPr>
          <w:p w14:paraId="6C39755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r>
      <w:tr w:rsidR="00EB5E7F" w:rsidRPr="00EB5E7F" w14:paraId="1D2F7786"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0773C874"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98" w:type="dxa"/>
            <w:vMerge/>
            <w:tcBorders>
              <w:top w:val="single" w:sz="8" w:space="0" w:color="AEAEAE"/>
              <w:left w:val="nil"/>
              <w:bottom w:val="single" w:sz="8" w:space="0" w:color="152935"/>
              <w:right w:val="nil"/>
            </w:tcBorders>
            <w:shd w:val="clear" w:color="auto" w:fill="auto"/>
          </w:tcPr>
          <w:p w14:paraId="7FDDCE19"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01" w:type="dxa"/>
            <w:tcBorders>
              <w:top w:val="single" w:sz="8" w:space="0" w:color="AEAEAE"/>
              <w:left w:val="nil"/>
              <w:bottom w:val="single" w:sz="8" w:space="0" w:color="AEAEAE"/>
              <w:right w:val="nil"/>
            </w:tcBorders>
            <w:shd w:val="clear" w:color="auto" w:fill="auto"/>
          </w:tcPr>
          <w:p w14:paraId="7B388B9E"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1843" w:type="dxa"/>
            <w:tcBorders>
              <w:top w:val="single" w:sz="8" w:space="0" w:color="AEAEAE"/>
              <w:left w:val="nil"/>
              <w:bottom w:val="single" w:sz="8" w:space="0" w:color="AEAEAE"/>
              <w:right w:val="single" w:sz="8" w:space="0" w:color="E0E0E0"/>
            </w:tcBorders>
            <w:shd w:val="clear" w:color="auto" w:fill="auto"/>
          </w:tcPr>
          <w:p w14:paraId="43511406"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,004</w:t>
            </w:r>
          </w:p>
        </w:tc>
        <w:tc>
          <w:tcPr>
            <w:tcW w:w="1579" w:type="dxa"/>
            <w:tcBorders>
              <w:top w:val="single" w:sz="8" w:space="0" w:color="AEAEAE"/>
              <w:left w:val="single" w:sz="8" w:space="0" w:color="E0E0E0"/>
              <w:bottom w:val="single" w:sz="8" w:space="0" w:color="AEAEAE"/>
              <w:right w:val="nil"/>
            </w:tcBorders>
            <w:shd w:val="clear" w:color="auto" w:fill="auto"/>
          </w:tcPr>
          <w:p w14:paraId="187A0C1D"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r>
      <w:tr w:rsidR="00EB5E7F" w:rsidRPr="00EB5E7F" w14:paraId="7D52C040"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410911FE"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98" w:type="dxa"/>
            <w:vMerge/>
            <w:tcBorders>
              <w:top w:val="single" w:sz="8" w:space="0" w:color="AEAEAE"/>
              <w:left w:val="nil"/>
              <w:bottom w:val="single" w:sz="8" w:space="0" w:color="152935"/>
              <w:right w:val="nil"/>
            </w:tcBorders>
            <w:shd w:val="clear" w:color="auto" w:fill="auto"/>
          </w:tcPr>
          <w:p w14:paraId="14040D99"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01" w:type="dxa"/>
            <w:tcBorders>
              <w:top w:val="single" w:sz="8" w:space="0" w:color="AEAEAE"/>
              <w:left w:val="nil"/>
              <w:bottom w:val="single" w:sz="8" w:space="0" w:color="152935"/>
              <w:right w:val="nil"/>
            </w:tcBorders>
            <w:shd w:val="clear" w:color="auto" w:fill="auto"/>
          </w:tcPr>
          <w:p w14:paraId="7A8A75A1"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1843" w:type="dxa"/>
            <w:tcBorders>
              <w:top w:val="single" w:sz="8" w:space="0" w:color="AEAEAE"/>
              <w:left w:val="nil"/>
              <w:bottom w:val="single" w:sz="8" w:space="0" w:color="152935"/>
              <w:right w:val="single" w:sz="8" w:space="0" w:color="E0E0E0"/>
            </w:tcBorders>
            <w:shd w:val="clear" w:color="auto" w:fill="auto"/>
          </w:tcPr>
          <w:p w14:paraId="2CCF9388"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579" w:type="dxa"/>
            <w:tcBorders>
              <w:top w:val="single" w:sz="8" w:space="0" w:color="AEAEAE"/>
              <w:left w:val="single" w:sz="8" w:space="0" w:color="E0E0E0"/>
              <w:bottom w:val="single" w:sz="8" w:space="0" w:color="152935"/>
              <w:right w:val="nil"/>
            </w:tcBorders>
            <w:shd w:val="clear" w:color="auto" w:fill="auto"/>
          </w:tcPr>
          <w:p w14:paraId="325B8D91"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bl>
    <w:p w14:paraId="6AA64983" w14:textId="77777777" w:rsidR="00EB5E7F" w:rsidRPr="00EB5E7F" w:rsidRDefault="00EB5E7F" w:rsidP="00EB5E7F">
      <w:pPr>
        <w:spacing w:after="0" w:line="480" w:lineRule="auto"/>
        <w:ind w:left="142" w:firstLine="720"/>
        <w:jc w:val="both"/>
        <w:rPr>
          <w:rFonts w:ascii="Times New Roman" w:eastAsia="Calibri" w:hAnsi="Times New Roman" w:cs="Times New Roman"/>
          <w:bCs/>
          <w:sz w:val="24"/>
          <w:szCs w:val="22"/>
          <w:lang w:eastAsia="es-PE"/>
        </w:rPr>
      </w:pPr>
      <w:r w:rsidRPr="00EB5E7F">
        <w:rPr>
          <w:rFonts w:ascii="Times New Roman" w:eastAsia="Calibri" w:hAnsi="Times New Roman" w:cs="Times New Roman"/>
          <w:bCs/>
          <w:sz w:val="24"/>
          <w:szCs w:val="22"/>
          <w:lang w:eastAsia="es-PE"/>
        </w:rPr>
        <w:t>Fuente: Elaboración Propia</w:t>
      </w:r>
    </w:p>
    <w:p w14:paraId="085F26F2" w14:textId="77777777" w:rsidR="00EB5E7F" w:rsidRPr="00EB5E7F" w:rsidRDefault="00EB5E7F" w:rsidP="00EB5E7F">
      <w:pPr>
        <w:spacing w:after="0" w:line="480" w:lineRule="auto"/>
        <w:ind w:left="142" w:firstLine="425"/>
        <w:contextualSpacing/>
        <w:jc w:val="both"/>
        <w:rPr>
          <w:rFonts w:ascii="Times New Roman" w:eastAsia="Times New Roman" w:hAnsi="Times New Roman" w:cs="Times New Roman"/>
          <w:bCs/>
          <w:sz w:val="24"/>
          <w:szCs w:val="24"/>
          <w:lang w:eastAsia="es-PE"/>
        </w:rPr>
      </w:pPr>
      <w:r w:rsidRPr="00EB5E7F">
        <w:rPr>
          <w:rFonts w:ascii="Times New Roman" w:eastAsia="Calibri" w:hAnsi="Times New Roman" w:cs="Times New Roman"/>
          <w:b/>
          <w:i/>
          <w:sz w:val="24"/>
          <w:szCs w:val="24"/>
        </w:rPr>
        <w:t>Interpretación:</w:t>
      </w:r>
      <w:r w:rsidRPr="00EB5E7F">
        <w:rPr>
          <w:rFonts w:ascii="Times New Roman" w:eastAsia="Calibri" w:hAnsi="Times New Roman" w:cs="Times New Roman"/>
          <w:i/>
          <w:sz w:val="24"/>
          <w:szCs w:val="24"/>
        </w:rPr>
        <w:t xml:space="preserve"> </w:t>
      </w:r>
      <w:r w:rsidRPr="00EB5E7F">
        <w:rPr>
          <w:rFonts w:ascii="Times New Roman" w:eastAsia="Calibri" w:hAnsi="Times New Roman" w:cs="Times New Roman"/>
          <w:sz w:val="24"/>
          <w:szCs w:val="24"/>
        </w:rPr>
        <w:t xml:space="preserve">Según los resultados obtenidos para comprobar la hipótesis general se ha obtenido que el coeficiente de correlación Rho de Spearman, que tiene el valor de 0.538** y </w:t>
      </w:r>
      <w:proofErr w:type="gramStart"/>
      <w:r w:rsidRPr="00EB5E7F">
        <w:rPr>
          <w:rFonts w:ascii="Times New Roman" w:eastAsia="Calibri" w:hAnsi="Times New Roman" w:cs="Times New Roman"/>
          <w:sz w:val="24"/>
          <w:szCs w:val="24"/>
        </w:rPr>
        <w:t>el sigma</w:t>
      </w:r>
      <w:proofErr w:type="gramEnd"/>
      <w:r w:rsidRPr="00EB5E7F">
        <w:rPr>
          <w:rFonts w:ascii="Times New Roman" w:eastAsia="Calibri" w:hAnsi="Times New Roman" w:cs="Times New Roman"/>
          <w:sz w:val="24"/>
          <w:szCs w:val="24"/>
        </w:rPr>
        <w:t xml:space="preserve"> (bilateral) es de 0,004 el mismo que es menor al parámetro teórico de 0,05 lo que nos permite afirmar que la hipótesis alterna se cumple entonces: </w:t>
      </w:r>
      <w:r w:rsidRPr="00EB5E7F">
        <w:rPr>
          <w:rFonts w:ascii="Times New Roman" w:eastAsia="Times New Roman" w:hAnsi="Times New Roman" w:cs="Times New Roman"/>
          <w:bCs/>
          <w:sz w:val="24"/>
          <w:szCs w:val="24"/>
          <w:lang w:eastAsia="es-PE"/>
        </w:rPr>
        <w:t>Los principios de desarrollo sostenible como herramienta para los CMA se relacionan con las políticas de desarrollo sostenible en la minería peruana.</w:t>
      </w:r>
    </w:p>
    <w:p w14:paraId="261B82CB" w14:textId="77777777" w:rsidR="006D133C" w:rsidRDefault="006D133C" w:rsidP="006D133C">
      <w:pPr>
        <w:spacing w:after="0" w:line="480" w:lineRule="auto"/>
        <w:jc w:val="both"/>
        <w:rPr>
          <w:rFonts w:ascii="Times New Roman" w:eastAsia="Calibri" w:hAnsi="Times New Roman" w:cs="Times New Roman"/>
          <w:sz w:val="24"/>
          <w:szCs w:val="24"/>
        </w:rPr>
      </w:pPr>
      <w:bookmarkStart w:id="6" w:name="_Toc524611901"/>
      <w:bookmarkStart w:id="7" w:name="_Toc502052210"/>
    </w:p>
    <w:p w14:paraId="1D2580C1" w14:textId="77777777" w:rsidR="006D133C" w:rsidRDefault="006D133C" w:rsidP="006D133C">
      <w:pPr>
        <w:spacing w:after="0" w:line="480" w:lineRule="auto"/>
        <w:jc w:val="both"/>
        <w:rPr>
          <w:rFonts w:ascii="Times New Roman" w:eastAsia="Calibri" w:hAnsi="Times New Roman" w:cs="Times New Roman"/>
          <w:sz w:val="24"/>
          <w:szCs w:val="24"/>
        </w:rPr>
      </w:pPr>
    </w:p>
    <w:p w14:paraId="3C3D4DF4" w14:textId="77777777" w:rsidR="006D133C" w:rsidRDefault="006D133C" w:rsidP="006D133C">
      <w:pPr>
        <w:spacing w:after="0" w:line="480" w:lineRule="auto"/>
        <w:jc w:val="both"/>
        <w:rPr>
          <w:rFonts w:ascii="Times New Roman" w:eastAsia="Calibri" w:hAnsi="Times New Roman" w:cs="Times New Roman"/>
          <w:sz w:val="24"/>
          <w:szCs w:val="24"/>
        </w:rPr>
      </w:pPr>
    </w:p>
    <w:p w14:paraId="6D2FB50A" w14:textId="42C93684" w:rsidR="00EB5E7F" w:rsidRPr="00EB5E7F" w:rsidRDefault="00EB5E7F" w:rsidP="006D133C">
      <w:pPr>
        <w:spacing w:after="0" w:line="480" w:lineRule="auto"/>
        <w:jc w:val="both"/>
        <w:rPr>
          <w:rFonts w:ascii="Times New Roman" w:eastAsia="Times New Roman" w:hAnsi="Times New Roman" w:cs="Times New Roman"/>
          <w:b/>
          <w:sz w:val="24"/>
          <w:szCs w:val="24"/>
        </w:rPr>
      </w:pPr>
      <w:r w:rsidRPr="00EB5E7F">
        <w:rPr>
          <w:rFonts w:ascii="Times New Roman" w:eastAsia="Times New Roman" w:hAnsi="Times New Roman" w:cs="Times New Roman"/>
          <w:b/>
          <w:sz w:val="24"/>
          <w:szCs w:val="24"/>
        </w:rPr>
        <w:t xml:space="preserve">Hipótesis </w:t>
      </w:r>
      <w:bookmarkEnd w:id="6"/>
      <w:bookmarkEnd w:id="7"/>
      <w:r w:rsidRPr="00EB5E7F">
        <w:rPr>
          <w:rFonts w:ascii="Times New Roman" w:eastAsia="Times New Roman" w:hAnsi="Times New Roman" w:cs="Times New Roman"/>
          <w:b/>
          <w:sz w:val="24"/>
          <w:szCs w:val="24"/>
        </w:rPr>
        <w:t>Especificas</w:t>
      </w:r>
    </w:p>
    <w:p w14:paraId="5A4135F8" w14:textId="77777777" w:rsidR="00EB5E7F" w:rsidRPr="00EB5E7F" w:rsidRDefault="00EB5E7F" w:rsidP="00EB5E7F">
      <w:pPr>
        <w:numPr>
          <w:ilvl w:val="0"/>
          <w:numId w:val="18"/>
        </w:numPr>
        <w:spacing w:after="0" w:line="480" w:lineRule="auto"/>
        <w:ind w:left="0" w:firstLine="0"/>
        <w:jc w:val="both"/>
        <w:rPr>
          <w:rFonts w:ascii="Times New Roman" w:eastAsia="Calibri" w:hAnsi="Times New Roman" w:cs="Times New Roman"/>
          <w:b/>
          <w:i/>
          <w:sz w:val="24"/>
          <w:szCs w:val="24"/>
        </w:rPr>
      </w:pPr>
      <w:r w:rsidRPr="00EB5E7F">
        <w:rPr>
          <w:rFonts w:ascii="Times New Roman" w:eastAsia="Calibri" w:hAnsi="Times New Roman" w:cs="Times New Roman"/>
          <w:b/>
          <w:i/>
          <w:sz w:val="24"/>
          <w:szCs w:val="24"/>
        </w:rPr>
        <w:t>Hipótesis específica 1.</w:t>
      </w:r>
    </w:p>
    <w:p w14:paraId="12C05652" w14:textId="77777777" w:rsidR="00EB5E7F" w:rsidRPr="00EB5E7F" w:rsidRDefault="00EB5E7F" w:rsidP="00EB5E7F">
      <w:pPr>
        <w:tabs>
          <w:tab w:val="left" w:pos="1843"/>
        </w:tabs>
        <w:spacing w:after="0" w:line="480" w:lineRule="auto"/>
        <w:ind w:left="709" w:firstLine="720"/>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sz w:val="24"/>
          <w:szCs w:val="24"/>
        </w:rPr>
        <w:t>Ho:</w:t>
      </w:r>
      <w:r w:rsidRPr="00EB5E7F">
        <w:rPr>
          <w:rFonts w:ascii="Times New Roman" w:eastAsia="Times New Roman" w:hAnsi="Times New Roman" w:cs="Times New Roman"/>
          <w:kern w:val="24"/>
          <w:sz w:val="24"/>
          <w:szCs w:val="24"/>
          <w:lang w:val="es-ES" w:eastAsia="es-PE"/>
        </w:rPr>
        <w:t xml:space="preserve"> L</w:t>
      </w:r>
      <w:r w:rsidRPr="00EB5E7F">
        <w:rPr>
          <w:rFonts w:ascii="Times New Roman" w:eastAsia="Calibri" w:hAnsi="Times New Roman" w:cs="Times New Roman"/>
          <w:bCs/>
          <w:sz w:val="24"/>
          <w:szCs w:val="24"/>
        </w:rPr>
        <w:t>a normatividad vigente relacionada con la Minería Peruana se relaciona con las políticas de desarrollo sostenible en la minería peruana.</w:t>
      </w:r>
    </w:p>
    <w:p w14:paraId="77BC387D" w14:textId="77777777" w:rsidR="00EB5E7F" w:rsidRPr="00EB5E7F" w:rsidRDefault="00EB5E7F" w:rsidP="00EB5E7F">
      <w:pPr>
        <w:tabs>
          <w:tab w:val="left" w:pos="1843"/>
        </w:tabs>
        <w:spacing w:after="0" w:line="480" w:lineRule="auto"/>
        <w:ind w:left="709" w:firstLine="720"/>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sz w:val="24"/>
          <w:szCs w:val="24"/>
        </w:rPr>
        <w:t>Ha: L</w:t>
      </w:r>
      <w:r w:rsidRPr="00EB5E7F">
        <w:rPr>
          <w:rFonts w:ascii="Times New Roman" w:eastAsia="Calibri" w:hAnsi="Times New Roman" w:cs="Times New Roman"/>
          <w:bCs/>
          <w:sz w:val="24"/>
          <w:szCs w:val="24"/>
        </w:rPr>
        <w:t>a normatividad vigente relacionada con la Minería Peruana se relaciona con las políticas de desarrollo sostenible en la minería peruana.</w:t>
      </w:r>
    </w:p>
    <w:p w14:paraId="0AD0162A" w14:textId="1B8DF58E" w:rsidR="00EB5E7F" w:rsidRPr="00EB5E7F" w:rsidRDefault="00EB5E7F" w:rsidP="006D133C">
      <w:pPr>
        <w:spacing w:after="0" w:line="480" w:lineRule="auto"/>
        <w:ind w:left="707"/>
        <w:jc w:val="both"/>
        <w:rPr>
          <w:rFonts w:ascii="Times New Roman" w:eastAsia="Calibri" w:hAnsi="Times New Roman" w:cs="Times New Roman"/>
          <w:b/>
          <w:i/>
          <w:iCs/>
          <w:sz w:val="24"/>
          <w:szCs w:val="22"/>
        </w:rPr>
      </w:pPr>
      <w:bookmarkStart w:id="8" w:name="_Toc33086454"/>
      <w:bookmarkStart w:id="9" w:name="_Toc33086633"/>
      <w:bookmarkStart w:id="10" w:name="_Toc95394729"/>
      <w:r w:rsidRPr="00EB5E7F">
        <w:rPr>
          <w:rFonts w:ascii="Times New Roman" w:eastAsia="Calibri" w:hAnsi="Times New Roman" w:cs="Times New Roman"/>
          <w:b/>
          <w:sz w:val="24"/>
          <w:szCs w:val="22"/>
        </w:rPr>
        <w:t>Tabla</w:t>
      </w:r>
      <w:r w:rsidR="006D133C" w:rsidRPr="006D133C">
        <w:rPr>
          <w:rFonts w:ascii="Times New Roman" w:eastAsia="Calibri" w:hAnsi="Times New Roman" w:cs="Times New Roman"/>
          <w:b/>
          <w:sz w:val="24"/>
          <w:szCs w:val="22"/>
        </w:rPr>
        <w:tab/>
        <w:t>2</w:t>
      </w:r>
      <w:r w:rsidRPr="00EB5E7F">
        <w:rPr>
          <w:rFonts w:ascii="Times New Roman" w:eastAsia="Calibri" w:hAnsi="Times New Roman" w:cs="Times New Roman"/>
          <w:sz w:val="24"/>
          <w:szCs w:val="22"/>
        </w:rPr>
        <w:t>:</w:t>
      </w:r>
      <w:bookmarkEnd w:id="8"/>
      <w:bookmarkEnd w:id="9"/>
      <w:r w:rsidRPr="00EB5E7F">
        <w:rPr>
          <w:rFonts w:ascii="Times New Roman" w:eastAsia="Calibri" w:hAnsi="Times New Roman" w:cs="Times New Roman"/>
          <w:sz w:val="24"/>
          <w:szCs w:val="22"/>
        </w:rPr>
        <w:t xml:space="preserve"> </w:t>
      </w:r>
      <w:bookmarkStart w:id="11" w:name="_Hlk50720367"/>
      <w:r w:rsidRPr="00EB5E7F">
        <w:rPr>
          <w:rFonts w:ascii="Times New Roman" w:eastAsia="Calibri" w:hAnsi="Times New Roman" w:cs="Times New Roman"/>
          <w:sz w:val="24"/>
          <w:szCs w:val="22"/>
        </w:rPr>
        <w:br/>
      </w:r>
      <w:r w:rsidRPr="00EB5E7F">
        <w:rPr>
          <w:rFonts w:ascii="Times New Roman" w:eastAsia="Calibri" w:hAnsi="Times New Roman" w:cs="Times New Roman"/>
          <w:i/>
          <w:iCs/>
          <w:sz w:val="24"/>
          <w:szCs w:val="22"/>
        </w:rPr>
        <w:t>Correlación entre l</w:t>
      </w:r>
      <w:r w:rsidRPr="00EB5E7F">
        <w:rPr>
          <w:rFonts w:ascii="Times New Roman" w:eastAsia="Calibri" w:hAnsi="Times New Roman" w:cs="Times New Roman"/>
          <w:bCs/>
          <w:i/>
          <w:iCs/>
          <w:sz w:val="24"/>
          <w:szCs w:val="22"/>
        </w:rPr>
        <w:t>a normatividad vigente relacionada con la Minería Peruana y las políticas de desarrollo sostenible en la minería peruana.</w:t>
      </w:r>
      <w:bookmarkEnd w:id="10"/>
    </w:p>
    <w:bookmarkEnd w:id="11"/>
    <w:p w14:paraId="6BEEFB62" w14:textId="77777777" w:rsidR="00EB5E7F" w:rsidRPr="00EB5E7F" w:rsidRDefault="00EB5E7F" w:rsidP="00EB5E7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808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7"/>
        <w:gridCol w:w="1556"/>
        <w:gridCol w:w="1560"/>
        <w:gridCol w:w="2048"/>
        <w:gridCol w:w="1779"/>
      </w:tblGrid>
      <w:tr w:rsidR="00EB5E7F" w:rsidRPr="00EB5E7F" w14:paraId="0451238C" w14:textId="77777777" w:rsidTr="00E62D63">
        <w:trPr>
          <w:cantSplit/>
        </w:trPr>
        <w:tc>
          <w:tcPr>
            <w:tcW w:w="4253" w:type="dxa"/>
            <w:gridSpan w:val="3"/>
            <w:tcBorders>
              <w:top w:val="nil"/>
              <w:left w:val="nil"/>
              <w:bottom w:val="single" w:sz="8" w:space="0" w:color="152935"/>
              <w:right w:val="nil"/>
            </w:tcBorders>
            <w:shd w:val="clear" w:color="auto" w:fill="auto"/>
            <w:vAlign w:val="bottom"/>
          </w:tcPr>
          <w:p w14:paraId="4A2ECC4C"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2048" w:type="dxa"/>
            <w:tcBorders>
              <w:top w:val="nil"/>
              <w:left w:val="nil"/>
              <w:bottom w:val="single" w:sz="8" w:space="0" w:color="152935"/>
              <w:right w:val="single" w:sz="8" w:space="0" w:color="E0E0E0"/>
            </w:tcBorders>
            <w:shd w:val="clear" w:color="auto" w:fill="auto"/>
            <w:vAlign w:val="center"/>
          </w:tcPr>
          <w:p w14:paraId="00605675"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Normatividad vigente relacionada con la Minería Peruana</w:t>
            </w:r>
          </w:p>
        </w:tc>
        <w:tc>
          <w:tcPr>
            <w:tcW w:w="1779" w:type="dxa"/>
            <w:tcBorders>
              <w:top w:val="nil"/>
              <w:left w:val="single" w:sz="8" w:space="0" w:color="E0E0E0"/>
              <w:bottom w:val="single" w:sz="8" w:space="0" w:color="152935"/>
              <w:right w:val="nil"/>
            </w:tcBorders>
            <w:shd w:val="clear" w:color="auto" w:fill="auto"/>
            <w:vAlign w:val="center"/>
          </w:tcPr>
          <w:p w14:paraId="0AE167A0"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r>
      <w:tr w:rsidR="00EB5E7F" w:rsidRPr="00EB5E7F" w14:paraId="21A21589" w14:textId="77777777" w:rsidTr="00E62D63">
        <w:trPr>
          <w:cantSplit/>
        </w:trPr>
        <w:tc>
          <w:tcPr>
            <w:tcW w:w="1137" w:type="dxa"/>
            <w:vMerge w:val="restart"/>
            <w:tcBorders>
              <w:top w:val="single" w:sz="8" w:space="0" w:color="152935"/>
              <w:left w:val="nil"/>
              <w:bottom w:val="single" w:sz="8" w:space="0" w:color="152935"/>
              <w:right w:val="nil"/>
            </w:tcBorders>
            <w:shd w:val="clear" w:color="auto" w:fill="auto"/>
          </w:tcPr>
          <w:p w14:paraId="37CD591D"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Rho de Spearman</w:t>
            </w:r>
          </w:p>
        </w:tc>
        <w:tc>
          <w:tcPr>
            <w:tcW w:w="1556" w:type="dxa"/>
            <w:vMerge w:val="restart"/>
            <w:tcBorders>
              <w:top w:val="single" w:sz="8" w:space="0" w:color="152935"/>
              <w:left w:val="nil"/>
              <w:bottom w:val="nil"/>
              <w:right w:val="nil"/>
            </w:tcBorders>
            <w:shd w:val="clear" w:color="auto" w:fill="auto"/>
          </w:tcPr>
          <w:p w14:paraId="5BE07F02"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Normatividad vigente relacionada con la Minería Peruana</w:t>
            </w:r>
          </w:p>
        </w:tc>
        <w:tc>
          <w:tcPr>
            <w:tcW w:w="1560" w:type="dxa"/>
            <w:tcBorders>
              <w:top w:val="single" w:sz="8" w:space="0" w:color="152935"/>
              <w:left w:val="nil"/>
              <w:bottom w:val="single" w:sz="8" w:space="0" w:color="AEAEAE"/>
              <w:right w:val="nil"/>
            </w:tcBorders>
            <w:shd w:val="clear" w:color="auto" w:fill="auto"/>
          </w:tcPr>
          <w:p w14:paraId="4E7561FE"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2048" w:type="dxa"/>
            <w:tcBorders>
              <w:top w:val="single" w:sz="8" w:space="0" w:color="152935"/>
              <w:left w:val="nil"/>
              <w:bottom w:val="single" w:sz="8" w:space="0" w:color="AEAEAE"/>
              <w:right w:val="single" w:sz="8" w:space="0" w:color="E0E0E0"/>
            </w:tcBorders>
            <w:shd w:val="clear" w:color="auto" w:fill="auto"/>
          </w:tcPr>
          <w:p w14:paraId="083D2731"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c>
          <w:tcPr>
            <w:tcW w:w="1779" w:type="dxa"/>
            <w:tcBorders>
              <w:top w:val="single" w:sz="8" w:space="0" w:color="152935"/>
              <w:left w:val="single" w:sz="8" w:space="0" w:color="E0E0E0"/>
              <w:bottom w:val="single" w:sz="8" w:space="0" w:color="AEAEAE"/>
              <w:right w:val="nil"/>
            </w:tcBorders>
            <w:shd w:val="clear" w:color="auto" w:fill="auto"/>
          </w:tcPr>
          <w:p w14:paraId="2D153514"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,438</w:t>
            </w:r>
          </w:p>
        </w:tc>
      </w:tr>
      <w:tr w:rsidR="00EB5E7F" w:rsidRPr="00EB5E7F" w14:paraId="69F2BB75"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6220F75E"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56" w:type="dxa"/>
            <w:vMerge/>
            <w:tcBorders>
              <w:top w:val="single" w:sz="8" w:space="0" w:color="152935"/>
              <w:left w:val="nil"/>
              <w:bottom w:val="nil"/>
              <w:right w:val="nil"/>
            </w:tcBorders>
            <w:shd w:val="clear" w:color="auto" w:fill="auto"/>
          </w:tcPr>
          <w:p w14:paraId="25BEBFBF"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single" w:sz="8" w:space="0" w:color="AEAEAE"/>
              <w:left w:val="nil"/>
              <w:bottom w:val="single" w:sz="8" w:space="0" w:color="AEAEAE"/>
              <w:right w:val="nil"/>
            </w:tcBorders>
            <w:shd w:val="clear" w:color="auto" w:fill="auto"/>
          </w:tcPr>
          <w:p w14:paraId="21CEB9C3"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2048" w:type="dxa"/>
            <w:tcBorders>
              <w:top w:val="single" w:sz="8" w:space="0" w:color="AEAEAE"/>
              <w:left w:val="nil"/>
              <w:bottom w:val="single" w:sz="8" w:space="0" w:color="AEAEAE"/>
              <w:right w:val="single" w:sz="8" w:space="0" w:color="E0E0E0"/>
            </w:tcBorders>
            <w:shd w:val="clear" w:color="auto" w:fill="auto"/>
          </w:tcPr>
          <w:p w14:paraId="12B92A3C"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c>
          <w:tcPr>
            <w:tcW w:w="1779" w:type="dxa"/>
            <w:tcBorders>
              <w:top w:val="single" w:sz="8" w:space="0" w:color="AEAEAE"/>
              <w:left w:val="single" w:sz="8" w:space="0" w:color="E0E0E0"/>
              <w:bottom w:val="single" w:sz="8" w:space="0" w:color="AEAEAE"/>
              <w:right w:val="nil"/>
            </w:tcBorders>
            <w:shd w:val="clear" w:color="auto" w:fill="auto"/>
          </w:tcPr>
          <w:p w14:paraId="649602B5"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,001</w:t>
            </w:r>
          </w:p>
        </w:tc>
      </w:tr>
      <w:tr w:rsidR="00EB5E7F" w:rsidRPr="00EB5E7F" w14:paraId="1FECE262"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200E7250"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56" w:type="dxa"/>
            <w:vMerge/>
            <w:tcBorders>
              <w:top w:val="single" w:sz="8" w:space="0" w:color="152935"/>
              <w:left w:val="nil"/>
              <w:bottom w:val="nil"/>
              <w:right w:val="nil"/>
            </w:tcBorders>
            <w:shd w:val="clear" w:color="auto" w:fill="auto"/>
          </w:tcPr>
          <w:p w14:paraId="654435BC"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single" w:sz="8" w:space="0" w:color="AEAEAE"/>
              <w:left w:val="nil"/>
              <w:bottom w:val="nil"/>
              <w:right w:val="nil"/>
            </w:tcBorders>
            <w:shd w:val="clear" w:color="auto" w:fill="auto"/>
          </w:tcPr>
          <w:p w14:paraId="04CE62DD"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2048" w:type="dxa"/>
            <w:tcBorders>
              <w:top w:val="single" w:sz="8" w:space="0" w:color="AEAEAE"/>
              <w:left w:val="nil"/>
              <w:bottom w:val="nil"/>
              <w:right w:val="single" w:sz="8" w:space="0" w:color="E0E0E0"/>
            </w:tcBorders>
            <w:shd w:val="clear" w:color="auto" w:fill="auto"/>
          </w:tcPr>
          <w:p w14:paraId="7CB36B88"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779" w:type="dxa"/>
            <w:tcBorders>
              <w:top w:val="single" w:sz="8" w:space="0" w:color="AEAEAE"/>
              <w:left w:val="single" w:sz="8" w:space="0" w:color="E0E0E0"/>
              <w:bottom w:val="nil"/>
              <w:right w:val="nil"/>
            </w:tcBorders>
            <w:shd w:val="clear" w:color="auto" w:fill="auto"/>
          </w:tcPr>
          <w:p w14:paraId="0A3149E7"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039A00B2"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5DB59DAB"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56" w:type="dxa"/>
            <w:vMerge w:val="restart"/>
            <w:tcBorders>
              <w:top w:val="single" w:sz="8" w:space="0" w:color="AEAEAE"/>
              <w:left w:val="nil"/>
              <w:bottom w:val="single" w:sz="8" w:space="0" w:color="152935"/>
              <w:right w:val="nil"/>
            </w:tcBorders>
            <w:shd w:val="clear" w:color="auto" w:fill="auto"/>
          </w:tcPr>
          <w:p w14:paraId="1B6EA1AF"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c>
          <w:tcPr>
            <w:tcW w:w="1560" w:type="dxa"/>
            <w:tcBorders>
              <w:top w:val="single" w:sz="8" w:space="0" w:color="AEAEAE"/>
              <w:left w:val="nil"/>
              <w:bottom w:val="single" w:sz="8" w:space="0" w:color="AEAEAE"/>
              <w:right w:val="nil"/>
            </w:tcBorders>
            <w:shd w:val="clear" w:color="auto" w:fill="auto"/>
          </w:tcPr>
          <w:p w14:paraId="7E3D7403"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2048" w:type="dxa"/>
            <w:tcBorders>
              <w:top w:val="single" w:sz="8" w:space="0" w:color="AEAEAE"/>
              <w:left w:val="nil"/>
              <w:bottom w:val="single" w:sz="8" w:space="0" w:color="AEAEAE"/>
              <w:right w:val="single" w:sz="8" w:space="0" w:color="E0E0E0"/>
            </w:tcBorders>
            <w:shd w:val="clear" w:color="auto" w:fill="auto"/>
          </w:tcPr>
          <w:p w14:paraId="16989532"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,438</w:t>
            </w:r>
          </w:p>
        </w:tc>
        <w:tc>
          <w:tcPr>
            <w:tcW w:w="1779" w:type="dxa"/>
            <w:tcBorders>
              <w:top w:val="single" w:sz="8" w:space="0" w:color="AEAEAE"/>
              <w:left w:val="single" w:sz="8" w:space="0" w:color="E0E0E0"/>
              <w:bottom w:val="single" w:sz="8" w:space="0" w:color="AEAEAE"/>
              <w:right w:val="nil"/>
            </w:tcBorders>
            <w:shd w:val="clear" w:color="auto" w:fill="auto"/>
          </w:tcPr>
          <w:p w14:paraId="76A06D9C"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r>
      <w:tr w:rsidR="00EB5E7F" w:rsidRPr="00EB5E7F" w14:paraId="436F42FD"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46196C6E"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56" w:type="dxa"/>
            <w:vMerge/>
            <w:tcBorders>
              <w:top w:val="single" w:sz="8" w:space="0" w:color="AEAEAE"/>
              <w:left w:val="nil"/>
              <w:bottom w:val="single" w:sz="8" w:space="0" w:color="152935"/>
              <w:right w:val="nil"/>
            </w:tcBorders>
            <w:shd w:val="clear" w:color="auto" w:fill="auto"/>
          </w:tcPr>
          <w:p w14:paraId="5861818A"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single" w:sz="8" w:space="0" w:color="AEAEAE"/>
              <w:left w:val="nil"/>
              <w:bottom w:val="single" w:sz="8" w:space="0" w:color="AEAEAE"/>
              <w:right w:val="nil"/>
            </w:tcBorders>
            <w:shd w:val="clear" w:color="auto" w:fill="auto"/>
          </w:tcPr>
          <w:p w14:paraId="2FB37336"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2048" w:type="dxa"/>
            <w:tcBorders>
              <w:top w:val="single" w:sz="8" w:space="0" w:color="AEAEAE"/>
              <w:left w:val="nil"/>
              <w:bottom w:val="single" w:sz="8" w:space="0" w:color="AEAEAE"/>
              <w:right w:val="single" w:sz="8" w:space="0" w:color="E0E0E0"/>
            </w:tcBorders>
            <w:shd w:val="clear" w:color="auto" w:fill="auto"/>
          </w:tcPr>
          <w:p w14:paraId="12579D8F"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,001</w:t>
            </w:r>
          </w:p>
        </w:tc>
        <w:tc>
          <w:tcPr>
            <w:tcW w:w="1779" w:type="dxa"/>
            <w:tcBorders>
              <w:top w:val="single" w:sz="8" w:space="0" w:color="AEAEAE"/>
              <w:left w:val="single" w:sz="8" w:space="0" w:color="E0E0E0"/>
              <w:bottom w:val="single" w:sz="8" w:space="0" w:color="AEAEAE"/>
              <w:right w:val="nil"/>
            </w:tcBorders>
            <w:shd w:val="clear" w:color="auto" w:fill="auto"/>
          </w:tcPr>
          <w:p w14:paraId="4644409B"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r>
      <w:tr w:rsidR="00EB5E7F" w:rsidRPr="00EB5E7F" w14:paraId="1C3F3C97" w14:textId="77777777" w:rsidTr="00E62D63">
        <w:trPr>
          <w:cantSplit/>
        </w:trPr>
        <w:tc>
          <w:tcPr>
            <w:tcW w:w="1137" w:type="dxa"/>
            <w:vMerge/>
            <w:tcBorders>
              <w:top w:val="single" w:sz="8" w:space="0" w:color="152935"/>
              <w:left w:val="nil"/>
              <w:bottom w:val="single" w:sz="8" w:space="0" w:color="152935"/>
              <w:right w:val="nil"/>
            </w:tcBorders>
            <w:shd w:val="clear" w:color="auto" w:fill="auto"/>
          </w:tcPr>
          <w:p w14:paraId="1E69C518"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56" w:type="dxa"/>
            <w:vMerge/>
            <w:tcBorders>
              <w:top w:val="single" w:sz="8" w:space="0" w:color="AEAEAE"/>
              <w:left w:val="nil"/>
              <w:bottom w:val="single" w:sz="8" w:space="0" w:color="152935"/>
              <w:right w:val="nil"/>
            </w:tcBorders>
            <w:shd w:val="clear" w:color="auto" w:fill="auto"/>
          </w:tcPr>
          <w:p w14:paraId="5ABAF3BF"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single" w:sz="8" w:space="0" w:color="AEAEAE"/>
              <w:left w:val="nil"/>
              <w:bottom w:val="single" w:sz="8" w:space="0" w:color="152935"/>
              <w:right w:val="nil"/>
            </w:tcBorders>
            <w:shd w:val="clear" w:color="auto" w:fill="auto"/>
          </w:tcPr>
          <w:p w14:paraId="5125D1E8"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2048" w:type="dxa"/>
            <w:tcBorders>
              <w:top w:val="single" w:sz="8" w:space="0" w:color="AEAEAE"/>
              <w:left w:val="nil"/>
              <w:bottom w:val="single" w:sz="8" w:space="0" w:color="152935"/>
              <w:right w:val="single" w:sz="8" w:space="0" w:color="E0E0E0"/>
            </w:tcBorders>
            <w:shd w:val="clear" w:color="auto" w:fill="auto"/>
          </w:tcPr>
          <w:p w14:paraId="32F2A439"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779" w:type="dxa"/>
            <w:tcBorders>
              <w:top w:val="single" w:sz="8" w:space="0" w:color="AEAEAE"/>
              <w:left w:val="single" w:sz="8" w:space="0" w:color="E0E0E0"/>
              <w:bottom w:val="single" w:sz="8" w:space="0" w:color="152935"/>
              <w:right w:val="nil"/>
            </w:tcBorders>
            <w:shd w:val="clear" w:color="auto" w:fill="auto"/>
          </w:tcPr>
          <w:p w14:paraId="2192EA9D"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bl>
    <w:p w14:paraId="41041F22" w14:textId="77777777" w:rsidR="00EB5E7F" w:rsidRPr="00EB5E7F" w:rsidRDefault="00EB5E7F" w:rsidP="00EB5E7F">
      <w:pPr>
        <w:spacing w:after="0" w:line="480" w:lineRule="auto"/>
        <w:ind w:firstLine="708"/>
        <w:jc w:val="both"/>
        <w:rPr>
          <w:rFonts w:ascii="Times New Roman" w:eastAsia="Calibri" w:hAnsi="Times New Roman" w:cs="Times New Roman"/>
          <w:bCs/>
          <w:sz w:val="24"/>
          <w:szCs w:val="22"/>
          <w:lang w:eastAsia="es-PE"/>
        </w:rPr>
      </w:pPr>
      <w:r w:rsidRPr="00EB5E7F">
        <w:rPr>
          <w:rFonts w:ascii="Times New Roman" w:eastAsia="Calibri" w:hAnsi="Times New Roman" w:cs="Times New Roman"/>
          <w:bCs/>
          <w:sz w:val="24"/>
          <w:szCs w:val="22"/>
          <w:lang w:eastAsia="es-PE"/>
        </w:rPr>
        <w:t>Fuente: Elaboración Propia</w:t>
      </w:r>
    </w:p>
    <w:p w14:paraId="562B309E" w14:textId="77777777" w:rsidR="00EB5E7F" w:rsidRPr="00EB5E7F" w:rsidRDefault="00EB5E7F" w:rsidP="00EB5E7F">
      <w:pPr>
        <w:spacing w:after="0" w:line="480" w:lineRule="auto"/>
        <w:ind w:left="709" w:firstLine="425"/>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i/>
          <w:sz w:val="24"/>
          <w:szCs w:val="24"/>
        </w:rPr>
        <w:t>Interpretación:</w:t>
      </w:r>
      <w:r w:rsidRPr="00EB5E7F">
        <w:rPr>
          <w:rFonts w:ascii="Times New Roman" w:eastAsia="Calibri" w:hAnsi="Times New Roman" w:cs="Times New Roman"/>
          <w:i/>
          <w:sz w:val="24"/>
          <w:szCs w:val="24"/>
        </w:rPr>
        <w:t xml:space="preserve"> </w:t>
      </w:r>
      <w:r w:rsidRPr="00EB5E7F">
        <w:rPr>
          <w:rFonts w:ascii="Times New Roman" w:eastAsia="Calibri" w:hAnsi="Times New Roman" w:cs="Times New Roman"/>
          <w:sz w:val="24"/>
          <w:szCs w:val="24"/>
        </w:rPr>
        <w:t xml:space="preserve">Según los resultados obtenidos para comprobar la hipótesis especifica 1 se ha obtenido que el coeficiente de correlación Rho de Spearman, que tiene el valor de 0.438* y </w:t>
      </w:r>
      <w:proofErr w:type="gramStart"/>
      <w:r w:rsidRPr="00EB5E7F">
        <w:rPr>
          <w:rFonts w:ascii="Times New Roman" w:eastAsia="Calibri" w:hAnsi="Times New Roman" w:cs="Times New Roman"/>
          <w:sz w:val="24"/>
          <w:szCs w:val="24"/>
        </w:rPr>
        <w:t>el sigma</w:t>
      </w:r>
      <w:proofErr w:type="gramEnd"/>
      <w:r w:rsidRPr="00EB5E7F">
        <w:rPr>
          <w:rFonts w:ascii="Times New Roman" w:eastAsia="Calibri" w:hAnsi="Times New Roman" w:cs="Times New Roman"/>
          <w:sz w:val="24"/>
          <w:szCs w:val="24"/>
        </w:rPr>
        <w:t xml:space="preserve"> (bilateral) es de 0,001 el mismo que es menor al parámetro teórico de 0,05 lo que nos permite afirmar que la hipótesis alterna se cumple entonces: L</w:t>
      </w:r>
      <w:r w:rsidRPr="00EB5E7F">
        <w:rPr>
          <w:rFonts w:ascii="Times New Roman" w:eastAsia="Calibri" w:hAnsi="Times New Roman" w:cs="Times New Roman"/>
          <w:bCs/>
          <w:sz w:val="24"/>
          <w:szCs w:val="24"/>
        </w:rPr>
        <w:t>a normatividad vigente relacionada con la Minería Peruana se relaciona con las políticas de desarrollo sostenible en la minería peruana.</w:t>
      </w:r>
    </w:p>
    <w:p w14:paraId="51F5125C" w14:textId="77777777" w:rsidR="00EB5E7F" w:rsidRPr="00EB5E7F" w:rsidRDefault="00EB5E7F" w:rsidP="00EB5E7F">
      <w:pPr>
        <w:spacing w:after="0" w:line="480" w:lineRule="auto"/>
        <w:ind w:left="709" w:firstLine="425"/>
        <w:contextualSpacing/>
        <w:jc w:val="both"/>
        <w:rPr>
          <w:rFonts w:ascii="Times New Roman" w:eastAsia="Calibri" w:hAnsi="Times New Roman" w:cs="Times New Roman"/>
          <w:sz w:val="24"/>
          <w:szCs w:val="22"/>
        </w:rPr>
      </w:pPr>
    </w:p>
    <w:p w14:paraId="20C77131" w14:textId="77777777" w:rsidR="00EB5E7F" w:rsidRPr="00EB5E7F" w:rsidRDefault="00EB5E7F" w:rsidP="00EB5E7F">
      <w:pPr>
        <w:numPr>
          <w:ilvl w:val="0"/>
          <w:numId w:val="18"/>
        </w:numPr>
        <w:spacing w:after="0" w:line="480" w:lineRule="auto"/>
        <w:ind w:left="567" w:hanging="425"/>
        <w:contextualSpacing/>
        <w:jc w:val="both"/>
        <w:rPr>
          <w:rFonts w:ascii="Times New Roman" w:eastAsia="Calibri" w:hAnsi="Times New Roman" w:cs="Times New Roman"/>
          <w:b/>
          <w:sz w:val="24"/>
          <w:szCs w:val="24"/>
        </w:rPr>
      </w:pPr>
      <w:r w:rsidRPr="00EB5E7F">
        <w:rPr>
          <w:rFonts w:ascii="Times New Roman" w:eastAsia="Calibri" w:hAnsi="Times New Roman" w:cs="Times New Roman"/>
          <w:b/>
          <w:i/>
          <w:sz w:val="24"/>
          <w:szCs w:val="24"/>
        </w:rPr>
        <w:t>Hipótesis específica 2.</w:t>
      </w:r>
    </w:p>
    <w:p w14:paraId="1E4E2132" w14:textId="77777777" w:rsidR="00EB5E7F" w:rsidRPr="00EB5E7F" w:rsidRDefault="00EB5E7F" w:rsidP="00EB5E7F">
      <w:pPr>
        <w:tabs>
          <w:tab w:val="left" w:pos="1843"/>
        </w:tabs>
        <w:spacing w:after="0" w:line="480" w:lineRule="auto"/>
        <w:ind w:left="567" w:firstLine="720"/>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sz w:val="24"/>
          <w:szCs w:val="24"/>
        </w:rPr>
        <w:t>Ho</w:t>
      </w:r>
      <w:r w:rsidRPr="00EB5E7F">
        <w:rPr>
          <w:rFonts w:ascii="Times New Roman" w:eastAsia="Calibri" w:hAnsi="Times New Roman" w:cs="Times New Roman"/>
          <w:sz w:val="24"/>
          <w:szCs w:val="24"/>
        </w:rPr>
        <w:t>: L</w:t>
      </w:r>
      <w:r w:rsidRPr="00EB5E7F">
        <w:rPr>
          <w:rFonts w:ascii="Times New Roman" w:eastAsia="Calibri" w:hAnsi="Times New Roman" w:cs="Times New Roman"/>
          <w:bCs/>
          <w:sz w:val="24"/>
          <w:szCs w:val="24"/>
        </w:rPr>
        <w:t>as Unidades Mineras en Producción clasificada por Estratos Mineros no se relacionan con las políticas de desarrollo sostenible en la minería peruana.</w:t>
      </w:r>
    </w:p>
    <w:p w14:paraId="365C3E13" w14:textId="77777777" w:rsidR="00EB5E7F" w:rsidRPr="00EB5E7F" w:rsidRDefault="00EB5E7F" w:rsidP="00EB5E7F">
      <w:pPr>
        <w:tabs>
          <w:tab w:val="left" w:pos="1843"/>
        </w:tabs>
        <w:spacing w:after="0" w:line="480" w:lineRule="auto"/>
        <w:ind w:left="567" w:firstLine="720"/>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sz w:val="24"/>
          <w:szCs w:val="24"/>
        </w:rPr>
        <w:t>Ha</w:t>
      </w:r>
      <w:r w:rsidRPr="00EB5E7F">
        <w:rPr>
          <w:rFonts w:ascii="Times New Roman" w:eastAsia="Calibri" w:hAnsi="Times New Roman" w:cs="Times New Roman"/>
          <w:sz w:val="24"/>
          <w:szCs w:val="24"/>
        </w:rPr>
        <w:t xml:space="preserve">: </w:t>
      </w:r>
      <w:bookmarkStart w:id="12" w:name="_Hlk95385167"/>
      <w:r w:rsidRPr="00EB5E7F">
        <w:rPr>
          <w:rFonts w:ascii="Times New Roman" w:eastAsia="Calibri" w:hAnsi="Times New Roman" w:cs="Times New Roman"/>
          <w:sz w:val="24"/>
          <w:szCs w:val="24"/>
        </w:rPr>
        <w:t>L</w:t>
      </w:r>
      <w:r w:rsidRPr="00EB5E7F">
        <w:rPr>
          <w:rFonts w:ascii="Times New Roman" w:eastAsia="Calibri" w:hAnsi="Times New Roman" w:cs="Times New Roman"/>
          <w:bCs/>
          <w:sz w:val="24"/>
          <w:szCs w:val="24"/>
        </w:rPr>
        <w:t>as Unidades Mineras en Producción clasificada por Estratos Mineros se relacionan con las políticas de desarrollo sostenible en la minería peruana.</w:t>
      </w:r>
      <w:bookmarkEnd w:id="12"/>
    </w:p>
    <w:p w14:paraId="0BC6409D" w14:textId="7DE839F9" w:rsidR="00EB5E7F" w:rsidRPr="00EB5E7F" w:rsidRDefault="00EB5E7F" w:rsidP="006D133C">
      <w:pPr>
        <w:keepNext/>
        <w:spacing w:after="0" w:line="240" w:lineRule="auto"/>
        <w:ind w:left="567"/>
        <w:jc w:val="both"/>
        <w:rPr>
          <w:rFonts w:ascii="Times New Roman" w:eastAsia="Calibri" w:hAnsi="Times New Roman" w:cs="Times New Roman"/>
          <w:i/>
          <w:iCs/>
          <w:sz w:val="24"/>
          <w:szCs w:val="24"/>
        </w:rPr>
      </w:pPr>
      <w:bookmarkStart w:id="13" w:name="_Toc33086455"/>
      <w:bookmarkStart w:id="14" w:name="_Toc33086634"/>
      <w:bookmarkStart w:id="15" w:name="_Toc95394730"/>
      <w:r w:rsidRPr="00EB5E7F">
        <w:rPr>
          <w:rFonts w:ascii="Times New Roman" w:eastAsia="Calibri" w:hAnsi="Times New Roman" w:cs="Times New Roman"/>
          <w:b/>
          <w:bCs/>
          <w:sz w:val="24"/>
          <w:szCs w:val="24"/>
          <w:lang w:eastAsia="es-PE"/>
        </w:rPr>
        <w:t>Tabla</w:t>
      </w:r>
      <w:r w:rsidR="006D133C">
        <w:rPr>
          <w:rFonts w:ascii="Times New Roman" w:eastAsia="Calibri" w:hAnsi="Times New Roman" w:cs="Times New Roman"/>
          <w:b/>
          <w:bCs/>
          <w:sz w:val="24"/>
          <w:szCs w:val="24"/>
          <w:lang w:eastAsia="es-PE"/>
        </w:rPr>
        <w:tab/>
        <w:t>3</w:t>
      </w:r>
      <w:r w:rsidRPr="00EB5E7F">
        <w:rPr>
          <w:rFonts w:ascii="Times New Roman" w:eastAsia="Calibri" w:hAnsi="Times New Roman" w:cs="Times New Roman"/>
          <w:bCs/>
          <w:sz w:val="24"/>
          <w:szCs w:val="24"/>
          <w:lang w:eastAsia="es-PE"/>
        </w:rPr>
        <w:t xml:space="preserve">: </w:t>
      </w:r>
      <w:bookmarkStart w:id="16" w:name="_Hlk50720523"/>
      <w:bookmarkEnd w:id="13"/>
      <w:bookmarkEnd w:id="14"/>
      <w:r w:rsidRPr="00EB5E7F">
        <w:rPr>
          <w:rFonts w:ascii="Times New Roman" w:eastAsia="Calibri" w:hAnsi="Times New Roman" w:cs="Times New Roman"/>
          <w:bCs/>
          <w:sz w:val="24"/>
          <w:szCs w:val="24"/>
          <w:lang w:eastAsia="es-PE"/>
        </w:rPr>
        <w:br/>
      </w:r>
      <w:r w:rsidRPr="00EB5E7F">
        <w:rPr>
          <w:rFonts w:ascii="Times New Roman" w:eastAsia="Calibri" w:hAnsi="Times New Roman" w:cs="Times New Roman"/>
          <w:i/>
          <w:iCs/>
          <w:sz w:val="24"/>
          <w:szCs w:val="24"/>
        </w:rPr>
        <w:t xml:space="preserve">Correlación entre </w:t>
      </w:r>
      <w:r w:rsidRPr="00EB5E7F">
        <w:rPr>
          <w:rFonts w:ascii="Times New Roman" w:eastAsia="Calibri" w:hAnsi="Times New Roman" w:cs="Times New Roman"/>
          <w:bCs/>
          <w:i/>
          <w:iCs/>
          <w:sz w:val="24"/>
          <w:szCs w:val="24"/>
        </w:rPr>
        <w:t>las unidades mineras en producción clasificada por Estratos Mineros y las políticas de desarrollo sostenible en la minería peruana.</w:t>
      </w:r>
      <w:bookmarkEnd w:id="15"/>
    </w:p>
    <w:bookmarkEnd w:id="16"/>
    <w:tbl>
      <w:tblPr>
        <w:tblW w:w="808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8"/>
        <w:gridCol w:w="1841"/>
        <w:gridCol w:w="1984"/>
        <w:gridCol w:w="1560"/>
        <w:gridCol w:w="1417"/>
      </w:tblGrid>
      <w:tr w:rsidR="00EB5E7F" w:rsidRPr="00EB5E7F" w14:paraId="7CB5698E" w14:textId="77777777" w:rsidTr="00E62D63">
        <w:trPr>
          <w:cantSplit/>
        </w:trPr>
        <w:tc>
          <w:tcPr>
            <w:tcW w:w="5103" w:type="dxa"/>
            <w:gridSpan w:val="3"/>
            <w:tcBorders>
              <w:top w:val="nil"/>
              <w:left w:val="nil"/>
              <w:bottom w:val="single" w:sz="8" w:space="0" w:color="152935"/>
              <w:right w:val="nil"/>
            </w:tcBorders>
            <w:shd w:val="clear" w:color="auto" w:fill="auto"/>
            <w:vAlign w:val="bottom"/>
          </w:tcPr>
          <w:p w14:paraId="4FA9751E"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560" w:type="dxa"/>
            <w:tcBorders>
              <w:top w:val="nil"/>
              <w:left w:val="nil"/>
              <w:bottom w:val="single" w:sz="8" w:space="0" w:color="152935"/>
              <w:right w:val="single" w:sz="8" w:space="0" w:color="E0E0E0"/>
            </w:tcBorders>
            <w:shd w:val="clear" w:color="auto" w:fill="auto"/>
            <w:vAlign w:val="bottom"/>
          </w:tcPr>
          <w:p w14:paraId="32FECE93"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Unidades Mineras en Producción clasificada por Estratos</w:t>
            </w:r>
          </w:p>
        </w:tc>
        <w:tc>
          <w:tcPr>
            <w:tcW w:w="1417" w:type="dxa"/>
            <w:tcBorders>
              <w:top w:val="nil"/>
              <w:left w:val="single" w:sz="8" w:space="0" w:color="E0E0E0"/>
              <w:bottom w:val="single" w:sz="8" w:space="0" w:color="152935"/>
              <w:right w:val="nil"/>
            </w:tcBorders>
            <w:shd w:val="clear" w:color="auto" w:fill="auto"/>
            <w:vAlign w:val="bottom"/>
          </w:tcPr>
          <w:p w14:paraId="7447AC99"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r>
      <w:tr w:rsidR="00EB5E7F" w:rsidRPr="00EB5E7F" w14:paraId="764D43C7" w14:textId="77777777" w:rsidTr="00E62D63">
        <w:trPr>
          <w:cantSplit/>
        </w:trPr>
        <w:tc>
          <w:tcPr>
            <w:tcW w:w="1278" w:type="dxa"/>
            <w:vMerge w:val="restart"/>
            <w:tcBorders>
              <w:top w:val="single" w:sz="8" w:space="0" w:color="152935"/>
              <w:left w:val="nil"/>
              <w:bottom w:val="single" w:sz="8" w:space="0" w:color="152935"/>
              <w:right w:val="nil"/>
            </w:tcBorders>
            <w:shd w:val="clear" w:color="auto" w:fill="auto"/>
          </w:tcPr>
          <w:p w14:paraId="569F7614"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Rho de Spearman</w:t>
            </w:r>
          </w:p>
        </w:tc>
        <w:tc>
          <w:tcPr>
            <w:tcW w:w="1841" w:type="dxa"/>
            <w:vMerge w:val="restart"/>
            <w:tcBorders>
              <w:top w:val="single" w:sz="8" w:space="0" w:color="152935"/>
              <w:left w:val="nil"/>
              <w:bottom w:val="nil"/>
              <w:right w:val="nil"/>
            </w:tcBorders>
            <w:shd w:val="clear" w:color="auto" w:fill="auto"/>
          </w:tcPr>
          <w:p w14:paraId="3E81C318"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Unidades Mineras en Producción clasificada por Estratos</w:t>
            </w:r>
          </w:p>
        </w:tc>
        <w:tc>
          <w:tcPr>
            <w:tcW w:w="1984" w:type="dxa"/>
            <w:tcBorders>
              <w:top w:val="single" w:sz="8" w:space="0" w:color="152935"/>
              <w:left w:val="nil"/>
              <w:bottom w:val="single" w:sz="8" w:space="0" w:color="AEAEAE"/>
              <w:right w:val="nil"/>
            </w:tcBorders>
            <w:shd w:val="clear" w:color="auto" w:fill="auto"/>
          </w:tcPr>
          <w:p w14:paraId="132643CB"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1560" w:type="dxa"/>
            <w:tcBorders>
              <w:top w:val="single" w:sz="8" w:space="0" w:color="152935"/>
              <w:left w:val="nil"/>
              <w:bottom w:val="single" w:sz="8" w:space="0" w:color="AEAEAE"/>
              <w:right w:val="single" w:sz="8" w:space="0" w:color="E0E0E0"/>
            </w:tcBorders>
            <w:shd w:val="clear" w:color="auto" w:fill="auto"/>
          </w:tcPr>
          <w:p w14:paraId="3E036E94"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c>
          <w:tcPr>
            <w:tcW w:w="1417" w:type="dxa"/>
            <w:tcBorders>
              <w:top w:val="single" w:sz="8" w:space="0" w:color="152935"/>
              <w:left w:val="single" w:sz="8" w:space="0" w:color="E0E0E0"/>
              <w:bottom w:val="single" w:sz="8" w:space="0" w:color="AEAEAE"/>
              <w:right w:val="nil"/>
            </w:tcBorders>
            <w:shd w:val="clear" w:color="auto" w:fill="auto"/>
          </w:tcPr>
          <w:p w14:paraId="24B60792"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,284</w:t>
            </w:r>
            <w:r w:rsidRPr="00EB5E7F">
              <w:rPr>
                <w:rFonts w:ascii="Times New Roman" w:eastAsia="Calibri" w:hAnsi="Times New Roman" w:cs="Times New Roman"/>
                <w:sz w:val="24"/>
                <w:szCs w:val="24"/>
                <w:vertAlign w:val="superscript"/>
              </w:rPr>
              <w:t>*</w:t>
            </w:r>
          </w:p>
        </w:tc>
      </w:tr>
      <w:tr w:rsidR="00EB5E7F" w:rsidRPr="00EB5E7F" w14:paraId="330755A2" w14:textId="77777777" w:rsidTr="00E62D63">
        <w:trPr>
          <w:cantSplit/>
        </w:trPr>
        <w:tc>
          <w:tcPr>
            <w:tcW w:w="1278" w:type="dxa"/>
            <w:vMerge/>
            <w:tcBorders>
              <w:top w:val="single" w:sz="8" w:space="0" w:color="152935"/>
              <w:left w:val="nil"/>
              <w:bottom w:val="single" w:sz="8" w:space="0" w:color="152935"/>
              <w:right w:val="nil"/>
            </w:tcBorders>
            <w:shd w:val="clear" w:color="auto" w:fill="auto"/>
          </w:tcPr>
          <w:p w14:paraId="0D2E1E09"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841" w:type="dxa"/>
            <w:vMerge/>
            <w:tcBorders>
              <w:top w:val="single" w:sz="8" w:space="0" w:color="152935"/>
              <w:left w:val="nil"/>
              <w:bottom w:val="nil"/>
              <w:right w:val="nil"/>
            </w:tcBorders>
            <w:shd w:val="clear" w:color="auto" w:fill="auto"/>
          </w:tcPr>
          <w:p w14:paraId="3D42F2BF"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984" w:type="dxa"/>
            <w:tcBorders>
              <w:top w:val="single" w:sz="8" w:space="0" w:color="AEAEAE"/>
              <w:left w:val="nil"/>
              <w:bottom w:val="single" w:sz="8" w:space="0" w:color="AEAEAE"/>
              <w:right w:val="nil"/>
            </w:tcBorders>
            <w:shd w:val="clear" w:color="auto" w:fill="auto"/>
          </w:tcPr>
          <w:p w14:paraId="4C675B0F"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1560" w:type="dxa"/>
            <w:tcBorders>
              <w:top w:val="single" w:sz="8" w:space="0" w:color="AEAEAE"/>
              <w:left w:val="nil"/>
              <w:bottom w:val="single" w:sz="8" w:space="0" w:color="AEAEAE"/>
              <w:right w:val="single" w:sz="8" w:space="0" w:color="E0E0E0"/>
            </w:tcBorders>
            <w:shd w:val="clear" w:color="auto" w:fill="auto"/>
          </w:tcPr>
          <w:p w14:paraId="341D27D7"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c>
          <w:tcPr>
            <w:tcW w:w="1417" w:type="dxa"/>
            <w:tcBorders>
              <w:top w:val="single" w:sz="8" w:space="0" w:color="AEAEAE"/>
              <w:left w:val="single" w:sz="8" w:space="0" w:color="E0E0E0"/>
              <w:bottom w:val="single" w:sz="8" w:space="0" w:color="AEAEAE"/>
              <w:right w:val="nil"/>
            </w:tcBorders>
            <w:shd w:val="clear" w:color="auto" w:fill="auto"/>
          </w:tcPr>
          <w:p w14:paraId="5D8E3154"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,014</w:t>
            </w:r>
          </w:p>
        </w:tc>
      </w:tr>
      <w:tr w:rsidR="00EB5E7F" w:rsidRPr="00EB5E7F" w14:paraId="33EF081F" w14:textId="77777777" w:rsidTr="00E62D63">
        <w:trPr>
          <w:cantSplit/>
        </w:trPr>
        <w:tc>
          <w:tcPr>
            <w:tcW w:w="1278" w:type="dxa"/>
            <w:vMerge/>
            <w:tcBorders>
              <w:top w:val="single" w:sz="8" w:space="0" w:color="152935"/>
              <w:left w:val="nil"/>
              <w:bottom w:val="single" w:sz="8" w:space="0" w:color="152935"/>
              <w:right w:val="nil"/>
            </w:tcBorders>
            <w:shd w:val="clear" w:color="auto" w:fill="auto"/>
          </w:tcPr>
          <w:p w14:paraId="3B6CF3D4"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841" w:type="dxa"/>
            <w:vMerge/>
            <w:tcBorders>
              <w:top w:val="single" w:sz="8" w:space="0" w:color="152935"/>
              <w:left w:val="nil"/>
              <w:bottom w:val="nil"/>
              <w:right w:val="nil"/>
            </w:tcBorders>
            <w:shd w:val="clear" w:color="auto" w:fill="auto"/>
          </w:tcPr>
          <w:p w14:paraId="5DD2ECE5"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984" w:type="dxa"/>
            <w:tcBorders>
              <w:top w:val="single" w:sz="8" w:space="0" w:color="AEAEAE"/>
              <w:left w:val="nil"/>
              <w:bottom w:val="nil"/>
              <w:right w:val="nil"/>
            </w:tcBorders>
            <w:shd w:val="clear" w:color="auto" w:fill="auto"/>
          </w:tcPr>
          <w:p w14:paraId="7FD70812"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1560" w:type="dxa"/>
            <w:tcBorders>
              <w:top w:val="single" w:sz="8" w:space="0" w:color="AEAEAE"/>
              <w:left w:val="nil"/>
              <w:bottom w:val="nil"/>
              <w:right w:val="single" w:sz="8" w:space="0" w:color="E0E0E0"/>
            </w:tcBorders>
            <w:shd w:val="clear" w:color="auto" w:fill="auto"/>
          </w:tcPr>
          <w:p w14:paraId="775D968B"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417" w:type="dxa"/>
            <w:tcBorders>
              <w:top w:val="single" w:sz="8" w:space="0" w:color="AEAEAE"/>
              <w:left w:val="single" w:sz="8" w:space="0" w:color="E0E0E0"/>
              <w:bottom w:val="nil"/>
              <w:right w:val="nil"/>
            </w:tcBorders>
            <w:shd w:val="clear" w:color="auto" w:fill="auto"/>
          </w:tcPr>
          <w:p w14:paraId="5C654403"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3DA5DE85" w14:textId="77777777" w:rsidTr="00E62D63">
        <w:trPr>
          <w:cantSplit/>
        </w:trPr>
        <w:tc>
          <w:tcPr>
            <w:tcW w:w="1278" w:type="dxa"/>
            <w:vMerge/>
            <w:tcBorders>
              <w:top w:val="single" w:sz="8" w:space="0" w:color="152935"/>
              <w:left w:val="nil"/>
              <w:bottom w:val="single" w:sz="8" w:space="0" w:color="152935"/>
              <w:right w:val="nil"/>
            </w:tcBorders>
            <w:shd w:val="clear" w:color="auto" w:fill="auto"/>
          </w:tcPr>
          <w:p w14:paraId="74176FB7"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841" w:type="dxa"/>
            <w:vMerge w:val="restart"/>
            <w:tcBorders>
              <w:top w:val="single" w:sz="8" w:space="0" w:color="AEAEAE"/>
              <w:left w:val="nil"/>
              <w:bottom w:val="single" w:sz="8" w:space="0" w:color="152935"/>
              <w:right w:val="nil"/>
            </w:tcBorders>
            <w:shd w:val="clear" w:color="auto" w:fill="auto"/>
          </w:tcPr>
          <w:p w14:paraId="4225B33F"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c>
          <w:tcPr>
            <w:tcW w:w="1984" w:type="dxa"/>
            <w:tcBorders>
              <w:top w:val="single" w:sz="8" w:space="0" w:color="AEAEAE"/>
              <w:left w:val="nil"/>
              <w:bottom w:val="single" w:sz="8" w:space="0" w:color="AEAEAE"/>
              <w:right w:val="nil"/>
            </w:tcBorders>
            <w:shd w:val="clear" w:color="auto" w:fill="auto"/>
          </w:tcPr>
          <w:p w14:paraId="3B5A43CA"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1560" w:type="dxa"/>
            <w:tcBorders>
              <w:top w:val="single" w:sz="8" w:space="0" w:color="AEAEAE"/>
              <w:left w:val="nil"/>
              <w:bottom w:val="single" w:sz="8" w:space="0" w:color="AEAEAE"/>
              <w:right w:val="single" w:sz="8" w:space="0" w:color="E0E0E0"/>
            </w:tcBorders>
            <w:shd w:val="clear" w:color="auto" w:fill="auto"/>
          </w:tcPr>
          <w:p w14:paraId="10E7764D"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,284</w:t>
            </w:r>
            <w:r w:rsidRPr="00EB5E7F">
              <w:rPr>
                <w:rFonts w:ascii="Times New Roman" w:eastAsia="Calibri" w:hAnsi="Times New Roman" w:cs="Times New Roman"/>
                <w:sz w:val="24"/>
                <w:szCs w:val="24"/>
                <w:vertAlign w:val="superscript"/>
              </w:rPr>
              <w:t>*</w:t>
            </w:r>
          </w:p>
        </w:tc>
        <w:tc>
          <w:tcPr>
            <w:tcW w:w="1417" w:type="dxa"/>
            <w:tcBorders>
              <w:top w:val="single" w:sz="8" w:space="0" w:color="AEAEAE"/>
              <w:left w:val="single" w:sz="8" w:space="0" w:color="E0E0E0"/>
              <w:bottom w:val="single" w:sz="8" w:space="0" w:color="AEAEAE"/>
              <w:right w:val="nil"/>
            </w:tcBorders>
            <w:shd w:val="clear" w:color="auto" w:fill="auto"/>
          </w:tcPr>
          <w:p w14:paraId="1AB21A41"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r>
      <w:tr w:rsidR="00EB5E7F" w:rsidRPr="00EB5E7F" w14:paraId="748A1C11" w14:textId="77777777" w:rsidTr="00E62D63">
        <w:trPr>
          <w:cantSplit/>
        </w:trPr>
        <w:tc>
          <w:tcPr>
            <w:tcW w:w="1278" w:type="dxa"/>
            <w:vMerge/>
            <w:tcBorders>
              <w:top w:val="single" w:sz="8" w:space="0" w:color="152935"/>
              <w:left w:val="nil"/>
              <w:bottom w:val="single" w:sz="8" w:space="0" w:color="152935"/>
              <w:right w:val="nil"/>
            </w:tcBorders>
            <w:shd w:val="clear" w:color="auto" w:fill="auto"/>
          </w:tcPr>
          <w:p w14:paraId="1F5662EB"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841" w:type="dxa"/>
            <w:vMerge/>
            <w:tcBorders>
              <w:top w:val="single" w:sz="8" w:space="0" w:color="AEAEAE"/>
              <w:left w:val="nil"/>
              <w:bottom w:val="single" w:sz="8" w:space="0" w:color="152935"/>
              <w:right w:val="nil"/>
            </w:tcBorders>
            <w:shd w:val="clear" w:color="auto" w:fill="auto"/>
          </w:tcPr>
          <w:p w14:paraId="501D999A"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984" w:type="dxa"/>
            <w:tcBorders>
              <w:top w:val="single" w:sz="8" w:space="0" w:color="AEAEAE"/>
              <w:left w:val="nil"/>
              <w:bottom w:val="single" w:sz="8" w:space="0" w:color="AEAEAE"/>
              <w:right w:val="nil"/>
            </w:tcBorders>
            <w:shd w:val="clear" w:color="auto" w:fill="auto"/>
          </w:tcPr>
          <w:p w14:paraId="1A9A86AF"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1560" w:type="dxa"/>
            <w:tcBorders>
              <w:top w:val="single" w:sz="8" w:space="0" w:color="AEAEAE"/>
              <w:left w:val="nil"/>
              <w:bottom w:val="single" w:sz="8" w:space="0" w:color="AEAEAE"/>
              <w:right w:val="single" w:sz="8" w:space="0" w:color="E0E0E0"/>
            </w:tcBorders>
            <w:shd w:val="clear" w:color="auto" w:fill="auto"/>
          </w:tcPr>
          <w:p w14:paraId="352DA3F8"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,014</w:t>
            </w:r>
          </w:p>
        </w:tc>
        <w:tc>
          <w:tcPr>
            <w:tcW w:w="1417" w:type="dxa"/>
            <w:tcBorders>
              <w:top w:val="single" w:sz="8" w:space="0" w:color="AEAEAE"/>
              <w:left w:val="single" w:sz="8" w:space="0" w:color="E0E0E0"/>
              <w:bottom w:val="single" w:sz="8" w:space="0" w:color="AEAEAE"/>
              <w:right w:val="nil"/>
            </w:tcBorders>
            <w:shd w:val="clear" w:color="auto" w:fill="auto"/>
          </w:tcPr>
          <w:p w14:paraId="32F82401"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r>
      <w:tr w:rsidR="00EB5E7F" w:rsidRPr="00EB5E7F" w14:paraId="3232F8EE" w14:textId="77777777" w:rsidTr="00E62D63">
        <w:trPr>
          <w:cantSplit/>
        </w:trPr>
        <w:tc>
          <w:tcPr>
            <w:tcW w:w="1278" w:type="dxa"/>
            <w:vMerge/>
            <w:tcBorders>
              <w:top w:val="single" w:sz="8" w:space="0" w:color="152935"/>
              <w:left w:val="nil"/>
              <w:bottom w:val="single" w:sz="8" w:space="0" w:color="152935"/>
              <w:right w:val="nil"/>
            </w:tcBorders>
            <w:shd w:val="clear" w:color="auto" w:fill="auto"/>
          </w:tcPr>
          <w:p w14:paraId="7163B2FB"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841" w:type="dxa"/>
            <w:vMerge/>
            <w:tcBorders>
              <w:top w:val="single" w:sz="8" w:space="0" w:color="AEAEAE"/>
              <w:left w:val="nil"/>
              <w:bottom w:val="single" w:sz="8" w:space="0" w:color="152935"/>
              <w:right w:val="nil"/>
            </w:tcBorders>
            <w:shd w:val="clear" w:color="auto" w:fill="auto"/>
          </w:tcPr>
          <w:p w14:paraId="18D63C4D"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984" w:type="dxa"/>
            <w:tcBorders>
              <w:top w:val="single" w:sz="8" w:space="0" w:color="AEAEAE"/>
              <w:left w:val="nil"/>
              <w:bottom w:val="single" w:sz="8" w:space="0" w:color="152935"/>
              <w:right w:val="nil"/>
            </w:tcBorders>
            <w:shd w:val="clear" w:color="auto" w:fill="auto"/>
          </w:tcPr>
          <w:p w14:paraId="6DD405D9"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1560" w:type="dxa"/>
            <w:tcBorders>
              <w:top w:val="single" w:sz="8" w:space="0" w:color="AEAEAE"/>
              <w:left w:val="nil"/>
              <w:bottom w:val="single" w:sz="8" w:space="0" w:color="152935"/>
              <w:right w:val="single" w:sz="8" w:space="0" w:color="E0E0E0"/>
            </w:tcBorders>
            <w:shd w:val="clear" w:color="auto" w:fill="auto"/>
          </w:tcPr>
          <w:p w14:paraId="79F158A7"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417" w:type="dxa"/>
            <w:tcBorders>
              <w:top w:val="single" w:sz="8" w:space="0" w:color="AEAEAE"/>
              <w:left w:val="single" w:sz="8" w:space="0" w:color="E0E0E0"/>
              <w:bottom w:val="single" w:sz="8" w:space="0" w:color="152935"/>
              <w:right w:val="nil"/>
            </w:tcBorders>
            <w:shd w:val="clear" w:color="auto" w:fill="auto"/>
          </w:tcPr>
          <w:p w14:paraId="3AE30491" w14:textId="77777777" w:rsidR="00EB5E7F" w:rsidRPr="00EB5E7F" w:rsidRDefault="00EB5E7F" w:rsidP="006D133C">
            <w:pPr>
              <w:autoSpaceDE w:val="0"/>
              <w:autoSpaceDN w:val="0"/>
              <w:adjustRightInd w:val="0"/>
              <w:spacing w:after="0" w:line="320" w:lineRule="atLeast"/>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4275A742" w14:textId="77777777" w:rsidTr="00E62D63">
        <w:trPr>
          <w:cantSplit/>
        </w:trPr>
        <w:tc>
          <w:tcPr>
            <w:tcW w:w="8080" w:type="dxa"/>
            <w:gridSpan w:val="5"/>
            <w:tcBorders>
              <w:top w:val="nil"/>
              <w:left w:val="nil"/>
              <w:bottom w:val="nil"/>
              <w:right w:val="nil"/>
            </w:tcBorders>
            <w:shd w:val="clear" w:color="auto" w:fill="auto"/>
          </w:tcPr>
          <w:p w14:paraId="68849C86" w14:textId="77777777" w:rsidR="00EB5E7F" w:rsidRPr="00EB5E7F" w:rsidRDefault="00EB5E7F" w:rsidP="00EB5E7F">
            <w:pPr>
              <w:autoSpaceDE w:val="0"/>
              <w:autoSpaceDN w:val="0"/>
              <w:adjustRightInd w:val="0"/>
              <w:spacing w:after="0" w:line="320" w:lineRule="atLeast"/>
              <w:ind w:left="60" w:right="60" w:firstLine="720"/>
              <w:jc w:val="both"/>
              <w:rPr>
                <w:rFonts w:ascii="Times New Roman" w:eastAsia="Calibri" w:hAnsi="Times New Roman" w:cs="Times New Roman"/>
                <w:sz w:val="24"/>
                <w:szCs w:val="24"/>
              </w:rPr>
            </w:pPr>
            <w:r w:rsidRPr="00EB5E7F">
              <w:rPr>
                <w:rFonts w:ascii="Times New Roman" w:eastAsia="Calibri" w:hAnsi="Times New Roman" w:cs="Times New Roman"/>
                <w:sz w:val="24"/>
                <w:szCs w:val="24"/>
              </w:rPr>
              <w:t>*. La correlación es significativa en el nivel 0,05 (bilateral).</w:t>
            </w:r>
          </w:p>
        </w:tc>
      </w:tr>
    </w:tbl>
    <w:p w14:paraId="369E5C01" w14:textId="77777777" w:rsidR="00EB5E7F" w:rsidRPr="00EB5E7F" w:rsidRDefault="00EB5E7F" w:rsidP="00EB5E7F">
      <w:pPr>
        <w:spacing w:after="0" w:line="480" w:lineRule="auto"/>
        <w:ind w:left="567" w:firstLine="720"/>
        <w:jc w:val="both"/>
        <w:rPr>
          <w:rFonts w:ascii="Times New Roman" w:eastAsia="Calibri" w:hAnsi="Times New Roman" w:cs="Times New Roman"/>
          <w:bCs/>
          <w:sz w:val="24"/>
          <w:szCs w:val="22"/>
          <w:lang w:eastAsia="es-PE"/>
        </w:rPr>
      </w:pPr>
      <w:r w:rsidRPr="00EB5E7F">
        <w:rPr>
          <w:rFonts w:ascii="Times New Roman" w:eastAsia="Calibri" w:hAnsi="Times New Roman" w:cs="Times New Roman"/>
          <w:bCs/>
          <w:sz w:val="24"/>
          <w:szCs w:val="22"/>
          <w:lang w:eastAsia="es-PE"/>
        </w:rPr>
        <w:t>Fuente: Elaboración Propia</w:t>
      </w:r>
    </w:p>
    <w:p w14:paraId="743C61B6" w14:textId="77777777" w:rsidR="00EB5E7F" w:rsidRPr="00EB5E7F" w:rsidRDefault="00EB5E7F" w:rsidP="00EB5E7F">
      <w:pPr>
        <w:tabs>
          <w:tab w:val="left" w:pos="1843"/>
        </w:tabs>
        <w:spacing w:after="0" w:line="480" w:lineRule="auto"/>
        <w:ind w:left="709" w:firstLine="720"/>
        <w:contextualSpacing/>
        <w:jc w:val="both"/>
        <w:rPr>
          <w:rFonts w:ascii="Times New Roman" w:eastAsia="Calibri" w:hAnsi="Times New Roman" w:cs="Times New Roman"/>
          <w:b/>
          <w:i/>
          <w:sz w:val="24"/>
          <w:szCs w:val="22"/>
        </w:rPr>
      </w:pPr>
    </w:p>
    <w:p w14:paraId="4B7D6AAB" w14:textId="77777777" w:rsidR="00EB5E7F" w:rsidRPr="00EB5E7F" w:rsidRDefault="00EB5E7F" w:rsidP="00EB5E7F">
      <w:pPr>
        <w:tabs>
          <w:tab w:val="left" w:pos="1843"/>
        </w:tabs>
        <w:spacing w:after="0" w:line="480" w:lineRule="auto"/>
        <w:ind w:left="709" w:firstLine="720"/>
        <w:contextualSpacing/>
        <w:jc w:val="both"/>
        <w:rPr>
          <w:rFonts w:ascii="Times New Roman" w:eastAsia="Calibri" w:hAnsi="Times New Roman" w:cs="Times New Roman"/>
          <w:sz w:val="24"/>
          <w:szCs w:val="24"/>
        </w:rPr>
      </w:pPr>
      <w:r w:rsidRPr="00EB5E7F">
        <w:rPr>
          <w:rFonts w:ascii="Times New Roman" w:eastAsia="Calibri" w:hAnsi="Times New Roman" w:cs="Times New Roman"/>
          <w:b/>
          <w:i/>
          <w:sz w:val="24"/>
          <w:szCs w:val="24"/>
        </w:rPr>
        <w:t>Interpretación:</w:t>
      </w:r>
      <w:r w:rsidRPr="00EB5E7F">
        <w:rPr>
          <w:rFonts w:ascii="Times New Roman" w:eastAsia="Calibri" w:hAnsi="Times New Roman" w:cs="Times New Roman"/>
          <w:i/>
          <w:sz w:val="24"/>
          <w:szCs w:val="24"/>
        </w:rPr>
        <w:t xml:space="preserve"> </w:t>
      </w:r>
      <w:r w:rsidRPr="00EB5E7F">
        <w:rPr>
          <w:rFonts w:ascii="Times New Roman" w:eastAsia="Calibri" w:hAnsi="Times New Roman" w:cs="Times New Roman"/>
          <w:sz w:val="24"/>
          <w:szCs w:val="24"/>
        </w:rPr>
        <w:t xml:space="preserve">Según los resultados obtenidos para comprobar la hipótesis especifica 2 se ha obtenido que el coeficiente de correlación Rho de Spearman, que tiene el valor de 0.284* y </w:t>
      </w:r>
      <w:proofErr w:type="gramStart"/>
      <w:r w:rsidRPr="00EB5E7F">
        <w:rPr>
          <w:rFonts w:ascii="Times New Roman" w:eastAsia="Calibri" w:hAnsi="Times New Roman" w:cs="Times New Roman"/>
          <w:sz w:val="24"/>
          <w:szCs w:val="24"/>
        </w:rPr>
        <w:t>el sigma</w:t>
      </w:r>
      <w:proofErr w:type="gramEnd"/>
      <w:r w:rsidRPr="00EB5E7F">
        <w:rPr>
          <w:rFonts w:ascii="Times New Roman" w:eastAsia="Calibri" w:hAnsi="Times New Roman" w:cs="Times New Roman"/>
          <w:sz w:val="24"/>
          <w:szCs w:val="24"/>
        </w:rPr>
        <w:t xml:space="preserve"> (bilateral) es de 0,014 el mismo que es menor al parámetro teórico de 0,05 lo que nos permite afirmar que la hipótesis alterna se cumple entonces: </w:t>
      </w:r>
      <w:r w:rsidRPr="00EB5E7F">
        <w:rPr>
          <w:rFonts w:ascii="Times New Roman" w:eastAsia="Calibri" w:hAnsi="Times New Roman" w:cs="Times New Roman"/>
          <w:bCs/>
          <w:sz w:val="24"/>
          <w:szCs w:val="24"/>
        </w:rPr>
        <w:t>Las Unidades Mineras en Producción clasificada por Estratos Mineros se relacionan con las políticas de desarrollo sostenible en la minería peruana.</w:t>
      </w:r>
    </w:p>
    <w:p w14:paraId="2571FD29" w14:textId="77777777" w:rsidR="00EB5E7F" w:rsidRPr="00EB5E7F" w:rsidRDefault="00EB5E7F" w:rsidP="00EB5E7F">
      <w:pPr>
        <w:spacing w:after="160" w:line="259" w:lineRule="auto"/>
        <w:ind w:firstLine="720"/>
        <w:jc w:val="both"/>
        <w:rPr>
          <w:rFonts w:ascii="Times New Roman" w:eastAsia="Calibri" w:hAnsi="Times New Roman" w:cs="Times New Roman"/>
          <w:b/>
          <w:i/>
          <w:sz w:val="24"/>
          <w:szCs w:val="22"/>
        </w:rPr>
      </w:pPr>
      <w:r w:rsidRPr="00EB5E7F">
        <w:rPr>
          <w:rFonts w:ascii="Times New Roman" w:eastAsia="Calibri" w:hAnsi="Times New Roman" w:cs="Times New Roman"/>
          <w:b/>
          <w:i/>
          <w:sz w:val="24"/>
          <w:szCs w:val="22"/>
        </w:rPr>
        <w:br w:type="page"/>
      </w:r>
    </w:p>
    <w:p w14:paraId="2109DBF9" w14:textId="77777777" w:rsidR="00EB5E7F" w:rsidRPr="00EB5E7F" w:rsidRDefault="00EB5E7F" w:rsidP="00EB5E7F">
      <w:pPr>
        <w:numPr>
          <w:ilvl w:val="0"/>
          <w:numId w:val="18"/>
        </w:numPr>
        <w:spacing w:after="0" w:line="480" w:lineRule="auto"/>
        <w:ind w:left="567" w:hanging="425"/>
        <w:contextualSpacing/>
        <w:jc w:val="both"/>
        <w:rPr>
          <w:rFonts w:ascii="Times New Roman" w:eastAsia="Calibri" w:hAnsi="Times New Roman" w:cs="Times New Roman"/>
          <w:b/>
          <w:sz w:val="24"/>
          <w:szCs w:val="24"/>
        </w:rPr>
      </w:pPr>
      <w:r w:rsidRPr="00EB5E7F">
        <w:rPr>
          <w:rFonts w:ascii="Times New Roman" w:eastAsia="Calibri" w:hAnsi="Times New Roman" w:cs="Times New Roman"/>
          <w:b/>
          <w:i/>
          <w:sz w:val="24"/>
          <w:szCs w:val="24"/>
        </w:rPr>
        <w:t>Hipótesis específica 3.</w:t>
      </w:r>
    </w:p>
    <w:p w14:paraId="12489D47" w14:textId="77777777" w:rsidR="00EB5E7F" w:rsidRPr="00EB5E7F" w:rsidRDefault="00EB5E7F" w:rsidP="00EB5E7F">
      <w:pPr>
        <w:tabs>
          <w:tab w:val="left" w:pos="1843"/>
        </w:tabs>
        <w:spacing w:after="0" w:line="480" w:lineRule="auto"/>
        <w:ind w:left="709" w:firstLine="720"/>
        <w:contextualSpacing/>
        <w:jc w:val="both"/>
        <w:rPr>
          <w:rFonts w:ascii="Times New Roman" w:eastAsia="Times New Roman" w:hAnsi="Times New Roman" w:cs="Times New Roman"/>
          <w:bCs/>
          <w:kern w:val="24"/>
          <w:sz w:val="24"/>
          <w:szCs w:val="24"/>
          <w:lang w:eastAsia="es-PE"/>
        </w:rPr>
      </w:pPr>
      <w:r w:rsidRPr="00EB5E7F">
        <w:rPr>
          <w:rFonts w:ascii="Times New Roman" w:eastAsia="Calibri" w:hAnsi="Times New Roman" w:cs="Times New Roman"/>
          <w:b/>
          <w:sz w:val="24"/>
          <w:szCs w:val="24"/>
        </w:rPr>
        <w:t xml:space="preserve">Ho: </w:t>
      </w:r>
      <w:r w:rsidRPr="00EB5E7F">
        <w:rPr>
          <w:rFonts w:ascii="Times New Roman" w:eastAsia="Times New Roman" w:hAnsi="Times New Roman" w:cs="Times New Roman"/>
          <w:bCs/>
          <w:kern w:val="24"/>
          <w:sz w:val="24"/>
          <w:szCs w:val="24"/>
          <w:lang w:eastAsia="es-PE"/>
        </w:rPr>
        <w:t>El impacto económico, ambiental y social de la minería peruana no se relacionan con las políticas de desarrollo sostenible en la minería peruana.</w:t>
      </w:r>
    </w:p>
    <w:p w14:paraId="06C65AA7" w14:textId="77777777" w:rsidR="00EB5E7F" w:rsidRPr="00EB5E7F" w:rsidRDefault="00EB5E7F" w:rsidP="00EB5E7F">
      <w:pPr>
        <w:tabs>
          <w:tab w:val="left" w:pos="1560"/>
          <w:tab w:val="left" w:pos="1843"/>
        </w:tabs>
        <w:spacing w:after="0" w:line="480" w:lineRule="auto"/>
        <w:ind w:left="709" w:firstLine="720"/>
        <w:contextualSpacing/>
        <w:jc w:val="both"/>
        <w:rPr>
          <w:rFonts w:ascii="Times New Roman" w:eastAsia="Times New Roman" w:hAnsi="Times New Roman" w:cs="Times New Roman"/>
          <w:bCs/>
          <w:kern w:val="24"/>
          <w:sz w:val="24"/>
          <w:szCs w:val="24"/>
          <w:lang w:eastAsia="es-PE"/>
        </w:rPr>
      </w:pPr>
      <w:r w:rsidRPr="00EB5E7F">
        <w:rPr>
          <w:rFonts w:ascii="Times New Roman" w:eastAsia="Calibri" w:hAnsi="Times New Roman" w:cs="Times New Roman"/>
          <w:b/>
          <w:sz w:val="24"/>
          <w:szCs w:val="24"/>
        </w:rPr>
        <w:t xml:space="preserve">Ha: </w:t>
      </w:r>
      <w:bookmarkStart w:id="17" w:name="_Toc33086456"/>
      <w:bookmarkStart w:id="18" w:name="_Toc33086635"/>
      <w:r w:rsidRPr="00EB5E7F">
        <w:rPr>
          <w:rFonts w:ascii="Times New Roman" w:eastAsia="Times New Roman" w:hAnsi="Times New Roman" w:cs="Times New Roman"/>
          <w:bCs/>
          <w:kern w:val="24"/>
          <w:sz w:val="24"/>
          <w:szCs w:val="24"/>
          <w:lang w:eastAsia="es-PE"/>
        </w:rPr>
        <w:t>El impacto económico, ambiental y social de la minería peruana se relacionan con las políticas de desarrollo sostenible en la minería peruana.</w:t>
      </w:r>
    </w:p>
    <w:p w14:paraId="02907271" w14:textId="35ACB5A9" w:rsidR="00EB5E7F" w:rsidRPr="00EB5E7F" w:rsidRDefault="00EB5E7F" w:rsidP="006D133C">
      <w:pPr>
        <w:keepNext/>
        <w:spacing w:after="0" w:line="240" w:lineRule="auto"/>
        <w:ind w:left="567"/>
        <w:jc w:val="both"/>
        <w:rPr>
          <w:rFonts w:ascii="Times New Roman" w:eastAsia="Calibri" w:hAnsi="Times New Roman" w:cs="Times New Roman"/>
          <w:i/>
          <w:iCs/>
          <w:sz w:val="24"/>
          <w:szCs w:val="24"/>
        </w:rPr>
      </w:pPr>
      <w:bookmarkStart w:id="19" w:name="_Toc95394731"/>
      <w:r w:rsidRPr="00EB5E7F">
        <w:rPr>
          <w:rFonts w:ascii="Times New Roman" w:eastAsia="Calibri" w:hAnsi="Times New Roman" w:cs="Times New Roman"/>
          <w:b/>
          <w:sz w:val="24"/>
          <w:szCs w:val="24"/>
        </w:rPr>
        <w:t>Tabla</w:t>
      </w:r>
      <w:r w:rsidR="006D133C">
        <w:rPr>
          <w:rFonts w:ascii="Times New Roman" w:eastAsia="Calibri" w:hAnsi="Times New Roman" w:cs="Times New Roman"/>
          <w:b/>
          <w:sz w:val="24"/>
          <w:szCs w:val="24"/>
        </w:rPr>
        <w:tab/>
        <w:t>4</w:t>
      </w:r>
      <w:r w:rsidRPr="00EB5E7F">
        <w:rPr>
          <w:rFonts w:ascii="Times New Roman" w:eastAsia="Calibri" w:hAnsi="Times New Roman" w:cs="Times New Roman"/>
          <w:b/>
          <w:sz w:val="24"/>
          <w:szCs w:val="24"/>
        </w:rPr>
        <w:t>:</w:t>
      </w:r>
      <w:r w:rsidRPr="00EB5E7F">
        <w:rPr>
          <w:rFonts w:ascii="Times New Roman" w:eastAsia="Calibri" w:hAnsi="Times New Roman" w:cs="Times New Roman"/>
          <w:b/>
          <w:i/>
          <w:iCs/>
          <w:sz w:val="24"/>
          <w:szCs w:val="24"/>
        </w:rPr>
        <w:t xml:space="preserve"> </w:t>
      </w:r>
      <w:bookmarkEnd w:id="17"/>
      <w:bookmarkEnd w:id="18"/>
      <w:r w:rsidRPr="00EB5E7F">
        <w:rPr>
          <w:rFonts w:ascii="Times New Roman" w:eastAsia="Calibri" w:hAnsi="Times New Roman" w:cs="Times New Roman"/>
          <w:b/>
          <w:i/>
          <w:iCs/>
          <w:sz w:val="24"/>
          <w:szCs w:val="24"/>
        </w:rPr>
        <w:br/>
      </w:r>
      <w:r w:rsidRPr="00EB5E7F">
        <w:rPr>
          <w:rFonts w:ascii="Times New Roman" w:eastAsia="Calibri" w:hAnsi="Times New Roman" w:cs="Times New Roman"/>
          <w:i/>
          <w:iCs/>
          <w:sz w:val="24"/>
          <w:szCs w:val="24"/>
        </w:rPr>
        <w:t xml:space="preserve">Correlación entre el </w:t>
      </w:r>
      <w:r w:rsidRPr="00EB5E7F">
        <w:rPr>
          <w:rFonts w:ascii="Times New Roman" w:eastAsia="Calibri" w:hAnsi="Times New Roman" w:cs="Times New Roman"/>
          <w:bCs/>
          <w:i/>
          <w:iCs/>
          <w:sz w:val="24"/>
          <w:szCs w:val="24"/>
        </w:rPr>
        <w:t>impacto económico, ambiental y social de la minería peruana y las políticas de desarrollo sostenible en la minería peruana.</w:t>
      </w:r>
      <w:bookmarkEnd w:id="19"/>
    </w:p>
    <w:tbl>
      <w:tblPr>
        <w:tblW w:w="813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7"/>
        <w:gridCol w:w="1645"/>
        <w:gridCol w:w="1614"/>
        <w:gridCol w:w="2322"/>
        <w:gridCol w:w="1275"/>
      </w:tblGrid>
      <w:tr w:rsidR="00EB5E7F" w:rsidRPr="00EB5E7F" w14:paraId="13189F33" w14:textId="77777777" w:rsidTr="00E62D63">
        <w:trPr>
          <w:cantSplit/>
        </w:trPr>
        <w:tc>
          <w:tcPr>
            <w:tcW w:w="4536" w:type="dxa"/>
            <w:gridSpan w:val="3"/>
            <w:tcBorders>
              <w:top w:val="nil"/>
              <w:left w:val="nil"/>
              <w:bottom w:val="single" w:sz="8" w:space="0" w:color="152935"/>
              <w:right w:val="nil"/>
            </w:tcBorders>
            <w:shd w:val="clear" w:color="auto" w:fill="auto"/>
            <w:vAlign w:val="bottom"/>
          </w:tcPr>
          <w:p w14:paraId="7A830E3F"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r w:rsidRPr="00EB5E7F">
              <w:rPr>
                <w:rFonts w:ascii="Times New Roman" w:eastAsia="Calibri" w:hAnsi="Times New Roman" w:cs="Times New Roman"/>
                <w:bCs/>
                <w:i/>
                <w:iCs/>
                <w:sz w:val="24"/>
                <w:szCs w:val="24"/>
              </w:rPr>
              <w:t>.</w:t>
            </w:r>
          </w:p>
        </w:tc>
        <w:tc>
          <w:tcPr>
            <w:tcW w:w="2322" w:type="dxa"/>
            <w:tcBorders>
              <w:top w:val="nil"/>
              <w:left w:val="nil"/>
              <w:bottom w:val="single" w:sz="8" w:space="0" w:color="152935"/>
              <w:right w:val="single" w:sz="8" w:space="0" w:color="E0E0E0"/>
            </w:tcBorders>
            <w:shd w:val="clear" w:color="auto" w:fill="auto"/>
            <w:vAlign w:val="bottom"/>
          </w:tcPr>
          <w:p w14:paraId="10C685BF"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Times New Roman" w:hAnsi="Times New Roman" w:cs="Times New Roman"/>
                <w:bCs/>
                <w:kern w:val="24"/>
                <w:sz w:val="24"/>
                <w:szCs w:val="24"/>
                <w:lang w:eastAsia="es-PE"/>
              </w:rPr>
              <w:t>Impacto económico, ambiental y social de la minería</w:t>
            </w:r>
          </w:p>
        </w:tc>
        <w:tc>
          <w:tcPr>
            <w:tcW w:w="1275" w:type="dxa"/>
            <w:tcBorders>
              <w:top w:val="nil"/>
              <w:left w:val="single" w:sz="8" w:space="0" w:color="E0E0E0"/>
              <w:bottom w:val="single" w:sz="8" w:space="0" w:color="152935"/>
              <w:right w:val="nil"/>
            </w:tcBorders>
            <w:shd w:val="clear" w:color="auto" w:fill="auto"/>
            <w:vAlign w:val="bottom"/>
          </w:tcPr>
          <w:p w14:paraId="2B05A85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r>
      <w:tr w:rsidR="00EB5E7F" w:rsidRPr="00EB5E7F" w14:paraId="0A2458ED" w14:textId="77777777" w:rsidTr="00E62D63">
        <w:trPr>
          <w:cantSplit/>
        </w:trPr>
        <w:tc>
          <w:tcPr>
            <w:tcW w:w="1277" w:type="dxa"/>
            <w:vMerge w:val="restart"/>
            <w:tcBorders>
              <w:top w:val="single" w:sz="8" w:space="0" w:color="152935"/>
              <w:left w:val="nil"/>
              <w:bottom w:val="single" w:sz="8" w:space="0" w:color="152935"/>
              <w:right w:val="nil"/>
            </w:tcBorders>
            <w:shd w:val="clear" w:color="auto" w:fill="auto"/>
          </w:tcPr>
          <w:p w14:paraId="32A02FD6"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Rho de Spearman</w:t>
            </w:r>
          </w:p>
        </w:tc>
        <w:tc>
          <w:tcPr>
            <w:tcW w:w="1645" w:type="dxa"/>
            <w:vMerge w:val="restart"/>
            <w:tcBorders>
              <w:top w:val="single" w:sz="8" w:space="0" w:color="152935"/>
              <w:left w:val="nil"/>
              <w:bottom w:val="nil"/>
              <w:right w:val="nil"/>
            </w:tcBorders>
            <w:shd w:val="clear" w:color="auto" w:fill="auto"/>
          </w:tcPr>
          <w:p w14:paraId="4657E315"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Times New Roman" w:hAnsi="Times New Roman" w:cs="Times New Roman"/>
                <w:bCs/>
                <w:kern w:val="24"/>
                <w:sz w:val="24"/>
                <w:szCs w:val="24"/>
                <w:lang w:eastAsia="es-PE"/>
              </w:rPr>
              <w:t>Impacto económico, ambiental y social de la minería</w:t>
            </w:r>
          </w:p>
        </w:tc>
        <w:tc>
          <w:tcPr>
            <w:tcW w:w="1614" w:type="dxa"/>
            <w:tcBorders>
              <w:top w:val="single" w:sz="8" w:space="0" w:color="152935"/>
              <w:left w:val="nil"/>
              <w:bottom w:val="single" w:sz="8" w:space="0" w:color="AEAEAE"/>
              <w:right w:val="nil"/>
            </w:tcBorders>
            <w:shd w:val="clear" w:color="auto" w:fill="auto"/>
          </w:tcPr>
          <w:p w14:paraId="34AF7B44"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2322" w:type="dxa"/>
            <w:tcBorders>
              <w:top w:val="single" w:sz="8" w:space="0" w:color="152935"/>
              <w:left w:val="nil"/>
              <w:bottom w:val="single" w:sz="8" w:space="0" w:color="AEAEAE"/>
              <w:right w:val="single" w:sz="8" w:space="0" w:color="E0E0E0"/>
            </w:tcBorders>
            <w:shd w:val="clear" w:color="auto" w:fill="auto"/>
          </w:tcPr>
          <w:p w14:paraId="4B18A2FD"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c>
          <w:tcPr>
            <w:tcW w:w="1275" w:type="dxa"/>
            <w:tcBorders>
              <w:top w:val="single" w:sz="8" w:space="0" w:color="152935"/>
              <w:left w:val="single" w:sz="8" w:space="0" w:color="E0E0E0"/>
              <w:bottom w:val="single" w:sz="8" w:space="0" w:color="AEAEAE"/>
              <w:right w:val="nil"/>
            </w:tcBorders>
            <w:shd w:val="clear" w:color="auto" w:fill="auto"/>
          </w:tcPr>
          <w:p w14:paraId="0B31A21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,661</w:t>
            </w:r>
            <w:r w:rsidRPr="00EB5E7F">
              <w:rPr>
                <w:rFonts w:ascii="Times New Roman" w:eastAsia="Calibri" w:hAnsi="Times New Roman" w:cs="Times New Roman"/>
                <w:sz w:val="24"/>
                <w:szCs w:val="24"/>
                <w:vertAlign w:val="superscript"/>
              </w:rPr>
              <w:t>**</w:t>
            </w:r>
          </w:p>
        </w:tc>
      </w:tr>
      <w:tr w:rsidR="00EB5E7F" w:rsidRPr="00EB5E7F" w14:paraId="363D8BB2" w14:textId="77777777" w:rsidTr="00E62D63">
        <w:trPr>
          <w:cantSplit/>
        </w:trPr>
        <w:tc>
          <w:tcPr>
            <w:tcW w:w="1277" w:type="dxa"/>
            <w:vMerge/>
            <w:tcBorders>
              <w:top w:val="single" w:sz="8" w:space="0" w:color="152935"/>
              <w:left w:val="nil"/>
              <w:bottom w:val="single" w:sz="8" w:space="0" w:color="152935"/>
              <w:right w:val="nil"/>
            </w:tcBorders>
            <w:shd w:val="clear" w:color="auto" w:fill="auto"/>
          </w:tcPr>
          <w:p w14:paraId="2F742649"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45" w:type="dxa"/>
            <w:vMerge/>
            <w:tcBorders>
              <w:top w:val="single" w:sz="8" w:space="0" w:color="152935"/>
              <w:left w:val="nil"/>
              <w:bottom w:val="nil"/>
              <w:right w:val="nil"/>
            </w:tcBorders>
            <w:shd w:val="clear" w:color="auto" w:fill="auto"/>
          </w:tcPr>
          <w:p w14:paraId="15ED7C1D"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single" w:sz="8" w:space="0" w:color="AEAEAE"/>
              <w:right w:val="nil"/>
            </w:tcBorders>
            <w:shd w:val="clear" w:color="auto" w:fill="auto"/>
          </w:tcPr>
          <w:p w14:paraId="52BF23D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2322" w:type="dxa"/>
            <w:tcBorders>
              <w:top w:val="single" w:sz="8" w:space="0" w:color="AEAEAE"/>
              <w:left w:val="nil"/>
              <w:bottom w:val="single" w:sz="8" w:space="0" w:color="AEAEAE"/>
              <w:right w:val="single" w:sz="8" w:space="0" w:color="E0E0E0"/>
            </w:tcBorders>
            <w:shd w:val="clear" w:color="auto" w:fill="auto"/>
          </w:tcPr>
          <w:p w14:paraId="09CF2855"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c>
          <w:tcPr>
            <w:tcW w:w="1275" w:type="dxa"/>
            <w:tcBorders>
              <w:top w:val="single" w:sz="8" w:space="0" w:color="AEAEAE"/>
              <w:left w:val="single" w:sz="8" w:space="0" w:color="E0E0E0"/>
              <w:bottom w:val="single" w:sz="8" w:space="0" w:color="AEAEAE"/>
              <w:right w:val="nil"/>
            </w:tcBorders>
            <w:shd w:val="clear" w:color="auto" w:fill="auto"/>
          </w:tcPr>
          <w:p w14:paraId="6B4AF8F4"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,000</w:t>
            </w:r>
          </w:p>
        </w:tc>
      </w:tr>
      <w:tr w:rsidR="00EB5E7F" w:rsidRPr="00EB5E7F" w14:paraId="7A1D2F8C" w14:textId="77777777" w:rsidTr="00E62D63">
        <w:trPr>
          <w:cantSplit/>
        </w:trPr>
        <w:tc>
          <w:tcPr>
            <w:tcW w:w="1277" w:type="dxa"/>
            <w:vMerge/>
            <w:tcBorders>
              <w:top w:val="single" w:sz="8" w:space="0" w:color="152935"/>
              <w:left w:val="nil"/>
              <w:bottom w:val="single" w:sz="8" w:space="0" w:color="152935"/>
              <w:right w:val="nil"/>
            </w:tcBorders>
            <w:shd w:val="clear" w:color="auto" w:fill="auto"/>
          </w:tcPr>
          <w:p w14:paraId="72250A98"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45" w:type="dxa"/>
            <w:vMerge/>
            <w:tcBorders>
              <w:top w:val="single" w:sz="8" w:space="0" w:color="152935"/>
              <w:left w:val="nil"/>
              <w:bottom w:val="nil"/>
              <w:right w:val="nil"/>
            </w:tcBorders>
            <w:shd w:val="clear" w:color="auto" w:fill="auto"/>
          </w:tcPr>
          <w:p w14:paraId="12146EBE"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nil"/>
              <w:right w:val="nil"/>
            </w:tcBorders>
            <w:shd w:val="clear" w:color="auto" w:fill="auto"/>
          </w:tcPr>
          <w:p w14:paraId="34E93CE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2322" w:type="dxa"/>
            <w:tcBorders>
              <w:top w:val="single" w:sz="8" w:space="0" w:color="AEAEAE"/>
              <w:left w:val="nil"/>
              <w:bottom w:val="nil"/>
              <w:right w:val="single" w:sz="8" w:space="0" w:color="E0E0E0"/>
            </w:tcBorders>
            <w:shd w:val="clear" w:color="auto" w:fill="auto"/>
          </w:tcPr>
          <w:p w14:paraId="72D12CA5"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275" w:type="dxa"/>
            <w:tcBorders>
              <w:top w:val="single" w:sz="8" w:space="0" w:color="AEAEAE"/>
              <w:left w:val="single" w:sz="8" w:space="0" w:color="E0E0E0"/>
              <w:bottom w:val="nil"/>
              <w:right w:val="nil"/>
            </w:tcBorders>
            <w:shd w:val="clear" w:color="auto" w:fill="auto"/>
          </w:tcPr>
          <w:p w14:paraId="5DAABCE3"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71CDC853" w14:textId="77777777" w:rsidTr="00E62D63">
        <w:trPr>
          <w:cantSplit/>
        </w:trPr>
        <w:tc>
          <w:tcPr>
            <w:tcW w:w="1277" w:type="dxa"/>
            <w:vMerge/>
            <w:tcBorders>
              <w:top w:val="single" w:sz="8" w:space="0" w:color="152935"/>
              <w:left w:val="nil"/>
              <w:bottom w:val="single" w:sz="8" w:space="0" w:color="152935"/>
              <w:right w:val="nil"/>
            </w:tcBorders>
            <w:shd w:val="clear" w:color="auto" w:fill="auto"/>
          </w:tcPr>
          <w:p w14:paraId="4CB5FAF4"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45" w:type="dxa"/>
            <w:vMerge w:val="restart"/>
            <w:tcBorders>
              <w:top w:val="single" w:sz="8" w:space="0" w:color="AEAEAE"/>
              <w:left w:val="nil"/>
              <w:bottom w:val="single" w:sz="8" w:space="0" w:color="152935"/>
              <w:right w:val="nil"/>
            </w:tcBorders>
            <w:shd w:val="clear" w:color="auto" w:fill="auto"/>
          </w:tcPr>
          <w:p w14:paraId="7C694E76"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c>
          <w:tcPr>
            <w:tcW w:w="1614" w:type="dxa"/>
            <w:tcBorders>
              <w:top w:val="single" w:sz="8" w:space="0" w:color="AEAEAE"/>
              <w:left w:val="nil"/>
              <w:bottom w:val="single" w:sz="8" w:space="0" w:color="AEAEAE"/>
              <w:right w:val="nil"/>
            </w:tcBorders>
            <w:shd w:val="clear" w:color="auto" w:fill="auto"/>
          </w:tcPr>
          <w:p w14:paraId="6EF3ED51"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2322" w:type="dxa"/>
            <w:tcBorders>
              <w:top w:val="single" w:sz="8" w:space="0" w:color="AEAEAE"/>
              <w:left w:val="nil"/>
              <w:bottom w:val="single" w:sz="8" w:space="0" w:color="AEAEAE"/>
              <w:right w:val="single" w:sz="8" w:space="0" w:color="E0E0E0"/>
            </w:tcBorders>
            <w:shd w:val="clear" w:color="auto" w:fill="auto"/>
          </w:tcPr>
          <w:p w14:paraId="1EE41E5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,661</w:t>
            </w:r>
            <w:r w:rsidRPr="00EB5E7F">
              <w:rPr>
                <w:rFonts w:ascii="Times New Roman" w:eastAsia="Calibri" w:hAnsi="Times New Roman" w:cs="Times New Roman"/>
                <w:sz w:val="24"/>
                <w:szCs w:val="24"/>
                <w:vertAlign w:val="superscript"/>
              </w:rPr>
              <w:t>**</w:t>
            </w:r>
          </w:p>
        </w:tc>
        <w:tc>
          <w:tcPr>
            <w:tcW w:w="1275" w:type="dxa"/>
            <w:tcBorders>
              <w:top w:val="single" w:sz="8" w:space="0" w:color="AEAEAE"/>
              <w:left w:val="single" w:sz="8" w:space="0" w:color="E0E0E0"/>
              <w:bottom w:val="single" w:sz="8" w:space="0" w:color="AEAEAE"/>
              <w:right w:val="nil"/>
            </w:tcBorders>
            <w:shd w:val="clear" w:color="auto" w:fill="auto"/>
          </w:tcPr>
          <w:p w14:paraId="306D727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r>
      <w:tr w:rsidR="00EB5E7F" w:rsidRPr="00EB5E7F" w14:paraId="6417EBD9" w14:textId="77777777" w:rsidTr="00E62D63">
        <w:trPr>
          <w:cantSplit/>
        </w:trPr>
        <w:tc>
          <w:tcPr>
            <w:tcW w:w="1277" w:type="dxa"/>
            <w:vMerge/>
            <w:tcBorders>
              <w:top w:val="single" w:sz="8" w:space="0" w:color="152935"/>
              <w:left w:val="nil"/>
              <w:bottom w:val="single" w:sz="8" w:space="0" w:color="152935"/>
              <w:right w:val="nil"/>
            </w:tcBorders>
            <w:shd w:val="clear" w:color="auto" w:fill="auto"/>
          </w:tcPr>
          <w:p w14:paraId="7E8B0AB7"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45" w:type="dxa"/>
            <w:vMerge/>
            <w:tcBorders>
              <w:top w:val="single" w:sz="8" w:space="0" w:color="AEAEAE"/>
              <w:left w:val="nil"/>
              <w:bottom w:val="single" w:sz="8" w:space="0" w:color="152935"/>
              <w:right w:val="nil"/>
            </w:tcBorders>
            <w:shd w:val="clear" w:color="auto" w:fill="auto"/>
          </w:tcPr>
          <w:p w14:paraId="37270458"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single" w:sz="8" w:space="0" w:color="AEAEAE"/>
              <w:right w:val="nil"/>
            </w:tcBorders>
            <w:shd w:val="clear" w:color="auto" w:fill="auto"/>
          </w:tcPr>
          <w:p w14:paraId="6EDE732A"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2322" w:type="dxa"/>
            <w:tcBorders>
              <w:top w:val="single" w:sz="8" w:space="0" w:color="AEAEAE"/>
              <w:left w:val="nil"/>
              <w:bottom w:val="single" w:sz="8" w:space="0" w:color="AEAEAE"/>
              <w:right w:val="single" w:sz="8" w:space="0" w:color="E0E0E0"/>
            </w:tcBorders>
            <w:shd w:val="clear" w:color="auto" w:fill="auto"/>
          </w:tcPr>
          <w:p w14:paraId="66F5123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,000</w:t>
            </w:r>
          </w:p>
        </w:tc>
        <w:tc>
          <w:tcPr>
            <w:tcW w:w="1275" w:type="dxa"/>
            <w:tcBorders>
              <w:top w:val="single" w:sz="8" w:space="0" w:color="AEAEAE"/>
              <w:left w:val="single" w:sz="8" w:space="0" w:color="E0E0E0"/>
              <w:bottom w:val="single" w:sz="8" w:space="0" w:color="AEAEAE"/>
              <w:right w:val="nil"/>
            </w:tcBorders>
            <w:shd w:val="clear" w:color="auto" w:fill="auto"/>
          </w:tcPr>
          <w:p w14:paraId="62C96AED"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r>
      <w:tr w:rsidR="00EB5E7F" w:rsidRPr="00EB5E7F" w14:paraId="61AE3F3D" w14:textId="77777777" w:rsidTr="00E62D63">
        <w:trPr>
          <w:cantSplit/>
        </w:trPr>
        <w:tc>
          <w:tcPr>
            <w:tcW w:w="1277" w:type="dxa"/>
            <w:vMerge/>
            <w:tcBorders>
              <w:top w:val="single" w:sz="8" w:space="0" w:color="152935"/>
              <w:left w:val="nil"/>
              <w:bottom w:val="single" w:sz="8" w:space="0" w:color="152935"/>
              <w:right w:val="nil"/>
            </w:tcBorders>
            <w:shd w:val="clear" w:color="auto" w:fill="auto"/>
          </w:tcPr>
          <w:p w14:paraId="04BFD74D"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45" w:type="dxa"/>
            <w:vMerge/>
            <w:tcBorders>
              <w:top w:val="single" w:sz="8" w:space="0" w:color="AEAEAE"/>
              <w:left w:val="nil"/>
              <w:bottom w:val="single" w:sz="8" w:space="0" w:color="152935"/>
              <w:right w:val="nil"/>
            </w:tcBorders>
            <w:shd w:val="clear" w:color="auto" w:fill="auto"/>
          </w:tcPr>
          <w:p w14:paraId="4EB354ED"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single" w:sz="8" w:space="0" w:color="152935"/>
              <w:right w:val="nil"/>
            </w:tcBorders>
            <w:shd w:val="clear" w:color="auto" w:fill="auto"/>
          </w:tcPr>
          <w:p w14:paraId="50CDEB87"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2322" w:type="dxa"/>
            <w:tcBorders>
              <w:top w:val="single" w:sz="8" w:space="0" w:color="AEAEAE"/>
              <w:left w:val="nil"/>
              <w:bottom w:val="single" w:sz="8" w:space="0" w:color="152935"/>
              <w:right w:val="single" w:sz="8" w:space="0" w:color="E0E0E0"/>
            </w:tcBorders>
            <w:shd w:val="clear" w:color="auto" w:fill="auto"/>
          </w:tcPr>
          <w:p w14:paraId="06D1754F"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275" w:type="dxa"/>
            <w:tcBorders>
              <w:top w:val="single" w:sz="8" w:space="0" w:color="AEAEAE"/>
              <w:left w:val="single" w:sz="8" w:space="0" w:color="E0E0E0"/>
              <w:bottom w:val="single" w:sz="8" w:space="0" w:color="152935"/>
              <w:right w:val="nil"/>
            </w:tcBorders>
            <w:shd w:val="clear" w:color="auto" w:fill="auto"/>
          </w:tcPr>
          <w:p w14:paraId="2C8E1451"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1223D438" w14:textId="77777777" w:rsidTr="00E62D63">
        <w:trPr>
          <w:cantSplit/>
        </w:trPr>
        <w:tc>
          <w:tcPr>
            <w:tcW w:w="8133" w:type="dxa"/>
            <w:gridSpan w:val="5"/>
            <w:tcBorders>
              <w:top w:val="nil"/>
              <w:left w:val="nil"/>
              <w:bottom w:val="nil"/>
              <w:right w:val="nil"/>
            </w:tcBorders>
            <w:shd w:val="clear" w:color="auto" w:fill="auto"/>
          </w:tcPr>
          <w:p w14:paraId="74BD02DD" w14:textId="77777777" w:rsidR="00EB5E7F" w:rsidRPr="00EB5E7F" w:rsidRDefault="00EB5E7F" w:rsidP="00EB5E7F">
            <w:pPr>
              <w:autoSpaceDE w:val="0"/>
              <w:autoSpaceDN w:val="0"/>
              <w:adjustRightInd w:val="0"/>
              <w:spacing w:after="0" w:line="320" w:lineRule="atLeast"/>
              <w:ind w:left="60" w:right="60" w:firstLine="720"/>
              <w:jc w:val="both"/>
              <w:rPr>
                <w:rFonts w:ascii="Times New Roman" w:eastAsia="Calibri" w:hAnsi="Times New Roman" w:cs="Times New Roman"/>
                <w:sz w:val="24"/>
                <w:szCs w:val="24"/>
              </w:rPr>
            </w:pPr>
            <w:r w:rsidRPr="00EB5E7F">
              <w:rPr>
                <w:rFonts w:ascii="Times New Roman" w:eastAsia="Calibri" w:hAnsi="Times New Roman" w:cs="Times New Roman"/>
                <w:sz w:val="24"/>
                <w:szCs w:val="24"/>
              </w:rPr>
              <w:t>**. La correlación es significativa en el nivel 0,01 (bilateral).</w:t>
            </w:r>
          </w:p>
        </w:tc>
      </w:tr>
    </w:tbl>
    <w:p w14:paraId="03912C9C" w14:textId="77777777" w:rsidR="00EB5E7F" w:rsidRPr="00EB5E7F" w:rsidRDefault="00EB5E7F" w:rsidP="00EB5E7F">
      <w:pPr>
        <w:spacing w:after="0" w:line="480" w:lineRule="auto"/>
        <w:ind w:left="709" w:firstLine="720"/>
        <w:jc w:val="both"/>
        <w:rPr>
          <w:rFonts w:ascii="Times New Roman" w:eastAsia="Calibri" w:hAnsi="Times New Roman" w:cs="Times New Roman"/>
          <w:bCs/>
          <w:sz w:val="24"/>
          <w:szCs w:val="24"/>
          <w:lang w:eastAsia="es-PE"/>
        </w:rPr>
      </w:pPr>
      <w:r w:rsidRPr="00EB5E7F">
        <w:rPr>
          <w:rFonts w:ascii="Times New Roman" w:eastAsia="Calibri" w:hAnsi="Times New Roman" w:cs="Times New Roman"/>
          <w:bCs/>
          <w:sz w:val="24"/>
          <w:szCs w:val="24"/>
          <w:lang w:eastAsia="es-PE"/>
        </w:rPr>
        <w:t>Fuente: Elaboración Propia</w:t>
      </w:r>
    </w:p>
    <w:p w14:paraId="7368FBFD" w14:textId="77777777" w:rsidR="00EB5E7F" w:rsidRPr="00EB5E7F" w:rsidRDefault="00EB5E7F" w:rsidP="00EB5E7F">
      <w:pPr>
        <w:spacing w:after="0" w:line="480" w:lineRule="auto"/>
        <w:ind w:left="707" w:firstLine="221"/>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i/>
          <w:sz w:val="24"/>
          <w:szCs w:val="24"/>
        </w:rPr>
        <w:t>Interpretación:</w:t>
      </w:r>
      <w:r w:rsidRPr="00EB5E7F">
        <w:rPr>
          <w:rFonts w:ascii="Times New Roman" w:eastAsia="Calibri" w:hAnsi="Times New Roman" w:cs="Times New Roman"/>
          <w:i/>
          <w:sz w:val="24"/>
          <w:szCs w:val="24"/>
        </w:rPr>
        <w:t xml:space="preserve"> </w:t>
      </w:r>
      <w:r w:rsidRPr="00EB5E7F">
        <w:rPr>
          <w:rFonts w:ascii="Times New Roman" w:eastAsia="Calibri" w:hAnsi="Times New Roman" w:cs="Times New Roman"/>
          <w:sz w:val="24"/>
          <w:szCs w:val="24"/>
        </w:rPr>
        <w:t xml:space="preserve">Según los resultados obtenidos para comprobar la hipótesis especifica 3 se ha obtenido que el coeficiente de correlación Rho de Spearman, que tiene el valor de 0.661** y </w:t>
      </w:r>
      <w:proofErr w:type="gramStart"/>
      <w:r w:rsidRPr="00EB5E7F">
        <w:rPr>
          <w:rFonts w:ascii="Times New Roman" w:eastAsia="Calibri" w:hAnsi="Times New Roman" w:cs="Times New Roman"/>
          <w:sz w:val="24"/>
          <w:szCs w:val="24"/>
        </w:rPr>
        <w:t>el sigma</w:t>
      </w:r>
      <w:proofErr w:type="gramEnd"/>
      <w:r w:rsidRPr="00EB5E7F">
        <w:rPr>
          <w:rFonts w:ascii="Times New Roman" w:eastAsia="Calibri" w:hAnsi="Times New Roman" w:cs="Times New Roman"/>
          <w:sz w:val="24"/>
          <w:szCs w:val="24"/>
        </w:rPr>
        <w:t xml:space="preserve"> (bilateral) es de 0,000 el mismo que es menor al parámetro teórico de 0,05 lo que nos permite afirmar que la hipótesis alterna se cumple entonces: </w:t>
      </w:r>
      <w:r w:rsidRPr="00EB5E7F">
        <w:rPr>
          <w:rFonts w:ascii="Times New Roman" w:eastAsia="Calibri" w:hAnsi="Times New Roman" w:cs="Times New Roman"/>
          <w:bCs/>
          <w:sz w:val="24"/>
          <w:szCs w:val="24"/>
        </w:rPr>
        <w:t>El impacto económico, ambiental y social de la minería peruana se relacionan con las políticas de desarrollo sostenible en la minería peruana.</w:t>
      </w:r>
    </w:p>
    <w:p w14:paraId="1D981645" w14:textId="77777777" w:rsidR="00EB5E7F" w:rsidRPr="00EB5E7F" w:rsidRDefault="00EB5E7F" w:rsidP="00EB5E7F">
      <w:pPr>
        <w:spacing w:after="0" w:line="480" w:lineRule="auto"/>
        <w:ind w:left="707" w:firstLine="221"/>
        <w:contextualSpacing/>
        <w:jc w:val="both"/>
        <w:rPr>
          <w:rFonts w:ascii="Times New Roman" w:eastAsia="Calibri" w:hAnsi="Times New Roman" w:cs="Times New Roman"/>
          <w:bCs/>
          <w:sz w:val="24"/>
          <w:szCs w:val="22"/>
        </w:rPr>
      </w:pPr>
    </w:p>
    <w:p w14:paraId="6E9B0432" w14:textId="77777777" w:rsidR="00EB5E7F" w:rsidRPr="00EB5E7F" w:rsidRDefault="00EB5E7F" w:rsidP="00EB5E7F">
      <w:pPr>
        <w:spacing w:after="0" w:line="480" w:lineRule="auto"/>
        <w:ind w:firstLine="720"/>
        <w:jc w:val="both"/>
        <w:rPr>
          <w:rFonts w:ascii="Times New Roman" w:eastAsia="Calibri" w:hAnsi="Times New Roman" w:cs="Times New Roman"/>
          <w:sz w:val="24"/>
          <w:szCs w:val="22"/>
        </w:rPr>
      </w:pPr>
      <w:r w:rsidRPr="00EB5E7F">
        <w:rPr>
          <w:rFonts w:ascii="Times New Roman" w:eastAsia="Calibri" w:hAnsi="Times New Roman" w:cs="Times New Roman"/>
          <w:sz w:val="24"/>
          <w:szCs w:val="22"/>
        </w:rPr>
        <w:br w:type="page"/>
      </w:r>
    </w:p>
    <w:p w14:paraId="4BFCD5AB" w14:textId="77777777" w:rsidR="00EB5E7F" w:rsidRPr="00EB5E7F" w:rsidRDefault="00EB5E7F" w:rsidP="00EB5E7F">
      <w:pPr>
        <w:numPr>
          <w:ilvl w:val="0"/>
          <w:numId w:val="18"/>
        </w:numPr>
        <w:spacing w:after="0" w:line="480" w:lineRule="auto"/>
        <w:ind w:left="567" w:hanging="425"/>
        <w:contextualSpacing/>
        <w:jc w:val="both"/>
        <w:rPr>
          <w:rFonts w:ascii="Times New Roman" w:eastAsia="Calibri" w:hAnsi="Times New Roman" w:cs="Times New Roman"/>
          <w:b/>
          <w:i/>
          <w:sz w:val="24"/>
          <w:szCs w:val="24"/>
        </w:rPr>
      </w:pPr>
      <w:r w:rsidRPr="00EB5E7F">
        <w:rPr>
          <w:rFonts w:ascii="Times New Roman" w:eastAsia="Calibri" w:hAnsi="Times New Roman" w:cs="Times New Roman"/>
          <w:b/>
          <w:i/>
          <w:sz w:val="24"/>
          <w:szCs w:val="24"/>
        </w:rPr>
        <w:t>Hipótesis específica 4.</w:t>
      </w:r>
    </w:p>
    <w:p w14:paraId="3D9DE35A" w14:textId="77777777" w:rsidR="00EB5E7F" w:rsidRPr="00EB5E7F" w:rsidRDefault="00EB5E7F" w:rsidP="00EB5E7F">
      <w:pPr>
        <w:tabs>
          <w:tab w:val="left" w:pos="1843"/>
        </w:tabs>
        <w:spacing w:after="0" w:line="480" w:lineRule="auto"/>
        <w:ind w:left="567" w:firstLine="720"/>
        <w:contextualSpacing/>
        <w:jc w:val="both"/>
        <w:rPr>
          <w:rFonts w:ascii="Times New Roman" w:eastAsia="Times New Roman" w:hAnsi="Times New Roman" w:cs="Times New Roman"/>
          <w:bCs/>
          <w:kern w:val="24"/>
          <w:sz w:val="24"/>
          <w:szCs w:val="24"/>
          <w:lang w:eastAsia="es-PE"/>
        </w:rPr>
      </w:pPr>
      <w:r w:rsidRPr="00EB5E7F">
        <w:rPr>
          <w:rFonts w:ascii="Times New Roman" w:eastAsia="Calibri" w:hAnsi="Times New Roman" w:cs="Times New Roman"/>
          <w:b/>
          <w:sz w:val="24"/>
          <w:szCs w:val="24"/>
        </w:rPr>
        <w:t xml:space="preserve">Ho: </w:t>
      </w:r>
      <w:r w:rsidRPr="00EB5E7F">
        <w:rPr>
          <w:rFonts w:ascii="Times New Roman" w:eastAsia="Times New Roman" w:hAnsi="Times New Roman" w:cs="Times New Roman"/>
          <w:bCs/>
          <w:kern w:val="24"/>
          <w:sz w:val="24"/>
          <w:szCs w:val="24"/>
          <w:lang w:eastAsia="es-PE"/>
        </w:rPr>
        <w:t>Los Centros Mineros Artesanales (CMA) en proceso de formalización minera no se relacionan con las políticas de desarrollo sostenible en la minería peruana.</w:t>
      </w:r>
    </w:p>
    <w:p w14:paraId="6D27D28D" w14:textId="77777777" w:rsidR="00EB5E7F" w:rsidRPr="00EB5E7F" w:rsidRDefault="00EB5E7F" w:rsidP="00EB5E7F">
      <w:pPr>
        <w:tabs>
          <w:tab w:val="left" w:pos="1560"/>
          <w:tab w:val="left" w:pos="1843"/>
        </w:tabs>
        <w:spacing w:after="0" w:line="480" w:lineRule="auto"/>
        <w:ind w:left="567" w:firstLine="720"/>
        <w:contextualSpacing/>
        <w:jc w:val="both"/>
        <w:rPr>
          <w:rFonts w:ascii="Times New Roman" w:eastAsia="Times New Roman" w:hAnsi="Times New Roman" w:cs="Times New Roman"/>
          <w:bCs/>
          <w:kern w:val="24"/>
          <w:sz w:val="24"/>
          <w:szCs w:val="24"/>
          <w:lang w:eastAsia="es-PE"/>
        </w:rPr>
      </w:pPr>
      <w:r w:rsidRPr="00EB5E7F">
        <w:rPr>
          <w:rFonts w:ascii="Times New Roman" w:eastAsia="Calibri" w:hAnsi="Times New Roman" w:cs="Times New Roman"/>
          <w:b/>
          <w:sz w:val="24"/>
          <w:szCs w:val="24"/>
        </w:rPr>
        <w:t xml:space="preserve">Ha: </w:t>
      </w:r>
      <w:r w:rsidRPr="00EB5E7F">
        <w:rPr>
          <w:rFonts w:ascii="Times New Roman" w:eastAsia="Times New Roman" w:hAnsi="Times New Roman" w:cs="Times New Roman"/>
          <w:bCs/>
          <w:kern w:val="24"/>
          <w:sz w:val="24"/>
          <w:szCs w:val="24"/>
          <w:lang w:eastAsia="es-PE"/>
        </w:rPr>
        <w:t>Los Centros Mineros Artesanales (CMA) en proceso de formalización minera no se relacionan con las políticas de desarrollo sostenible en la minería peruana.</w:t>
      </w:r>
    </w:p>
    <w:p w14:paraId="4F77C930" w14:textId="2BE5AF98" w:rsidR="00EB5E7F" w:rsidRPr="00EB5E7F" w:rsidRDefault="00EB5E7F" w:rsidP="006D133C">
      <w:pPr>
        <w:tabs>
          <w:tab w:val="left" w:pos="1560"/>
          <w:tab w:val="left" w:pos="1843"/>
        </w:tabs>
        <w:spacing w:after="0" w:line="240" w:lineRule="auto"/>
        <w:ind w:left="709"/>
        <w:contextualSpacing/>
        <w:jc w:val="both"/>
        <w:rPr>
          <w:rFonts w:ascii="Times New Roman" w:eastAsia="Calibri" w:hAnsi="Times New Roman" w:cs="Times New Roman"/>
          <w:bCs/>
          <w:sz w:val="24"/>
          <w:szCs w:val="24"/>
        </w:rPr>
      </w:pPr>
      <w:bookmarkStart w:id="20" w:name="_Toc95394732"/>
      <w:r w:rsidRPr="00EB5E7F">
        <w:rPr>
          <w:rFonts w:ascii="Times New Roman" w:eastAsia="Calibri" w:hAnsi="Times New Roman" w:cs="Times New Roman"/>
          <w:b/>
          <w:sz w:val="24"/>
          <w:szCs w:val="24"/>
        </w:rPr>
        <w:t>Tabla</w:t>
      </w:r>
      <w:r w:rsidR="006D133C">
        <w:rPr>
          <w:rFonts w:ascii="Times New Roman" w:eastAsia="Calibri" w:hAnsi="Times New Roman" w:cs="Times New Roman"/>
          <w:b/>
          <w:sz w:val="24"/>
          <w:szCs w:val="24"/>
        </w:rPr>
        <w:tab/>
      </w:r>
      <w:r w:rsidR="006D133C" w:rsidRPr="006D133C">
        <w:rPr>
          <w:rFonts w:ascii="Times New Roman" w:eastAsia="Calibri" w:hAnsi="Times New Roman" w:cs="Times New Roman"/>
          <w:b/>
          <w:iCs/>
          <w:sz w:val="24"/>
          <w:szCs w:val="24"/>
        </w:rPr>
        <w:t>5</w:t>
      </w:r>
      <w:r w:rsidRPr="00EB5E7F">
        <w:rPr>
          <w:rFonts w:ascii="Times New Roman" w:eastAsia="Calibri" w:hAnsi="Times New Roman" w:cs="Times New Roman"/>
          <w:b/>
          <w:sz w:val="24"/>
          <w:szCs w:val="24"/>
        </w:rPr>
        <w:t xml:space="preserve">:  </w:t>
      </w:r>
      <w:r w:rsidRPr="00EB5E7F">
        <w:rPr>
          <w:rFonts w:ascii="Times New Roman" w:eastAsia="Calibri" w:hAnsi="Times New Roman" w:cs="Times New Roman"/>
          <w:b/>
          <w:sz w:val="24"/>
          <w:szCs w:val="24"/>
        </w:rPr>
        <w:br/>
      </w:r>
      <w:r w:rsidRPr="00EB5E7F">
        <w:rPr>
          <w:rFonts w:ascii="Times New Roman" w:eastAsia="Calibri" w:hAnsi="Times New Roman" w:cs="Times New Roman"/>
          <w:i/>
          <w:iCs/>
          <w:sz w:val="24"/>
          <w:szCs w:val="24"/>
        </w:rPr>
        <w:t xml:space="preserve">Correlación entre </w:t>
      </w:r>
      <w:r w:rsidRPr="00EB5E7F">
        <w:rPr>
          <w:rFonts w:ascii="Times New Roman" w:eastAsia="Times New Roman" w:hAnsi="Times New Roman" w:cs="Times New Roman"/>
          <w:bCs/>
          <w:i/>
          <w:iCs/>
          <w:kern w:val="24"/>
          <w:sz w:val="24"/>
          <w:szCs w:val="24"/>
          <w:lang w:eastAsia="es-PE"/>
        </w:rPr>
        <w:t xml:space="preserve">los centros Mineros Artesanales (CMA) en proceso de formalización minera </w:t>
      </w:r>
      <w:r w:rsidRPr="00EB5E7F">
        <w:rPr>
          <w:rFonts w:ascii="Times New Roman" w:eastAsia="Calibri" w:hAnsi="Times New Roman" w:cs="Times New Roman"/>
          <w:bCs/>
          <w:i/>
          <w:iCs/>
          <w:sz w:val="24"/>
          <w:szCs w:val="24"/>
        </w:rPr>
        <w:t>y las políticas de desarrollo sostenible en la minería peruana.</w:t>
      </w:r>
      <w:bookmarkEnd w:id="20"/>
    </w:p>
    <w:tbl>
      <w:tblPr>
        <w:tblW w:w="820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4"/>
        <w:gridCol w:w="1804"/>
        <w:gridCol w:w="1629"/>
        <w:gridCol w:w="2146"/>
        <w:gridCol w:w="1485"/>
      </w:tblGrid>
      <w:tr w:rsidR="00EB5E7F" w:rsidRPr="00EB5E7F" w14:paraId="5CF18C57" w14:textId="77777777" w:rsidTr="006D133C">
        <w:trPr>
          <w:cantSplit/>
          <w:trHeight w:val="1053"/>
        </w:trPr>
        <w:tc>
          <w:tcPr>
            <w:tcW w:w="4577" w:type="dxa"/>
            <w:gridSpan w:val="3"/>
            <w:tcBorders>
              <w:top w:val="nil"/>
              <w:left w:val="nil"/>
              <w:bottom w:val="single" w:sz="8" w:space="0" w:color="152935"/>
              <w:right w:val="nil"/>
            </w:tcBorders>
            <w:shd w:val="clear" w:color="auto" w:fill="auto"/>
            <w:vAlign w:val="bottom"/>
          </w:tcPr>
          <w:p w14:paraId="416E24BB"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2146" w:type="dxa"/>
            <w:tcBorders>
              <w:top w:val="nil"/>
              <w:left w:val="nil"/>
              <w:bottom w:val="single" w:sz="8" w:space="0" w:color="152935"/>
              <w:right w:val="single" w:sz="8" w:space="0" w:color="E0E0E0"/>
            </w:tcBorders>
            <w:shd w:val="clear" w:color="auto" w:fill="auto"/>
            <w:vAlign w:val="bottom"/>
          </w:tcPr>
          <w:p w14:paraId="39840229"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Times New Roman" w:hAnsi="Times New Roman" w:cs="Times New Roman"/>
                <w:bCs/>
                <w:kern w:val="24"/>
                <w:sz w:val="24"/>
                <w:szCs w:val="24"/>
                <w:lang w:eastAsia="es-PE"/>
              </w:rPr>
              <w:t>Centros Mineros Artesanales (CMA) en proceso de formalización</w:t>
            </w:r>
          </w:p>
        </w:tc>
        <w:tc>
          <w:tcPr>
            <w:tcW w:w="1483" w:type="dxa"/>
            <w:tcBorders>
              <w:top w:val="nil"/>
              <w:left w:val="single" w:sz="8" w:space="0" w:color="E0E0E0"/>
              <w:bottom w:val="single" w:sz="8" w:space="0" w:color="152935"/>
              <w:right w:val="nil"/>
            </w:tcBorders>
            <w:shd w:val="clear" w:color="auto" w:fill="auto"/>
            <w:vAlign w:val="bottom"/>
          </w:tcPr>
          <w:p w14:paraId="1853ABC6"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bCs/>
                <w:sz w:val="24"/>
                <w:szCs w:val="24"/>
              </w:rPr>
              <w:t>Políticas de desarrollo sostenible</w:t>
            </w:r>
          </w:p>
        </w:tc>
      </w:tr>
      <w:tr w:rsidR="00EB5E7F" w:rsidRPr="00EB5E7F" w14:paraId="6F387D21" w14:textId="77777777" w:rsidTr="006D133C">
        <w:trPr>
          <w:cantSplit/>
          <w:trHeight w:val="641"/>
        </w:trPr>
        <w:tc>
          <w:tcPr>
            <w:tcW w:w="1144" w:type="dxa"/>
            <w:vMerge w:val="restart"/>
            <w:tcBorders>
              <w:top w:val="single" w:sz="8" w:space="0" w:color="152935"/>
              <w:left w:val="nil"/>
              <w:bottom w:val="single" w:sz="8" w:space="0" w:color="152935"/>
              <w:right w:val="nil"/>
            </w:tcBorders>
            <w:shd w:val="clear" w:color="auto" w:fill="auto"/>
          </w:tcPr>
          <w:p w14:paraId="39A1D566"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Rho de Spearman</w:t>
            </w:r>
          </w:p>
        </w:tc>
        <w:tc>
          <w:tcPr>
            <w:tcW w:w="1804" w:type="dxa"/>
            <w:vMerge w:val="restart"/>
            <w:tcBorders>
              <w:top w:val="single" w:sz="8" w:space="0" w:color="152935"/>
              <w:left w:val="nil"/>
              <w:bottom w:val="nil"/>
              <w:right w:val="nil"/>
            </w:tcBorders>
            <w:shd w:val="clear" w:color="auto" w:fill="auto"/>
          </w:tcPr>
          <w:p w14:paraId="10848432"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Times New Roman" w:hAnsi="Times New Roman" w:cs="Times New Roman"/>
                <w:bCs/>
                <w:kern w:val="24"/>
                <w:sz w:val="24"/>
                <w:szCs w:val="24"/>
                <w:lang w:eastAsia="es-PE"/>
              </w:rPr>
              <w:t>Centros Mineros Artesanales (CMA) en proceso de formalización</w:t>
            </w:r>
          </w:p>
        </w:tc>
        <w:tc>
          <w:tcPr>
            <w:tcW w:w="1628" w:type="dxa"/>
            <w:tcBorders>
              <w:top w:val="single" w:sz="8" w:space="0" w:color="152935"/>
              <w:left w:val="nil"/>
              <w:bottom w:val="single" w:sz="8" w:space="0" w:color="AEAEAE"/>
              <w:right w:val="nil"/>
            </w:tcBorders>
            <w:shd w:val="clear" w:color="auto" w:fill="auto"/>
          </w:tcPr>
          <w:p w14:paraId="46D03959"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Coeficiente de correlación</w:t>
            </w:r>
          </w:p>
        </w:tc>
        <w:tc>
          <w:tcPr>
            <w:tcW w:w="2146" w:type="dxa"/>
            <w:tcBorders>
              <w:top w:val="single" w:sz="8" w:space="0" w:color="152935"/>
              <w:left w:val="nil"/>
              <w:bottom w:val="single" w:sz="8" w:space="0" w:color="AEAEAE"/>
              <w:right w:val="single" w:sz="8" w:space="0" w:color="E0E0E0"/>
            </w:tcBorders>
            <w:shd w:val="clear" w:color="auto" w:fill="auto"/>
          </w:tcPr>
          <w:p w14:paraId="3D34D43D"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1,000</w:t>
            </w:r>
          </w:p>
        </w:tc>
        <w:tc>
          <w:tcPr>
            <w:tcW w:w="1483" w:type="dxa"/>
            <w:tcBorders>
              <w:top w:val="single" w:sz="8" w:space="0" w:color="152935"/>
              <w:left w:val="single" w:sz="8" w:space="0" w:color="E0E0E0"/>
              <w:bottom w:val="single" w:sz="8" w:space="0" w:color="AEAEAE"/>
              <w:right w:val="nil"/>
            </w:tcBorders>
            <w:shd w:val="clear" w:color="auto" w:fill="auto"/>
          </w:tcPr>
          <w:p w14:paraId="2EBEF7E3"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,732</w:t>
            </w:r>
            <w:r w:rsidRPr="006D133C">
              <w:rPr>
                <w:rFonts w:ascii="Times New Roman" w:eastAsia="Calibri" w:hAnsi="Times New Roman" w:cs="Times New Roman"/>
                <w:sz w:val="24"/>
                <w:szCs w:val="24"/>
                <w:vertAlign w:val="superscript"/>
              </w:rPr>
              <w:t>**</w:t>
            </w:r>
          </w:p>
        </w:tc>
      </w:tr>
      <w:tr w:rsidR="00EB5E7F" w:rsidRPr="00EB5E7F" w14:paraId="1936D587" w14:textId="77777777" w:rsidTr="006D133C">
        <w:trPr>
          <w:cantSplit/>
          <w:trHeight w:val="435"/>
        </w:trPr>
        <w:tc>
          <w:tcPr>
            <w:tcW w:w="1144" w:type="dxa"/>
            <w:vMerge/>
            <w:tcBorders>
              <w:top w:val="single" w:sz="8" w:space="0" w:color="152935"/>
              <w:left w:val="nil"/>
              <w:bottom w:val="single" w:sz="8" w:space="0" w:color="152935"/>
              <w:right w:val="nil"/>
            </w:tcBorders>
            <w:shd w:val="clear" w:color="auto" w:fill="auto"/>
          </w:tcPr>
          <w:p w14:paraId="652547A2"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804" w:type="dxa"/>
            <w:vMerge/>
            <w:tcBorders>
              <w:top w:val="single" w:sz="8" w:space="0" w:color="152935"/>
              <w:left w:val="nil"/>
              <w:bottom w:val="nil"/>
              <w:right w:val="nil"/>
            </w:tcBorders>
            <w:shd w:val="clear" w:color="auto" w:fill="auto"/>
          </w:tcPr>
          <w:p w14:paraId="6239FA60"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628" w:type="dxa"/>
            <w:tcBorders>
              <w:top w:val="single" w:sz="8" w:space="0" w:color="AEAEAE"/>
              <w:left w:val="nil"/>
              <w:bottom w:val="single" w:sz="8" w:space="0" w:color="AEAEAE"/>
              <w:right w:val="nil"/>
            </w:tcBorders>
            <w:shd w:val="clear" w:color="auto" w:fill="auto"/>
          </w:tcPr>
          <w:p w14:paraId="65471D9F"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Sig. (bilateral)</w:t>
            </w:r>
          </w:p>
        </w:tc>
        <w:tc>
          <w:tcPr>
            <w:tcW w:w="2146" w:type="dxa"/>
            <w:tcBorders>
              <w:top w:val="single" w:sz="8" w:space="0" w:color="AEAEAE"/>
              <w:left w:val="nil"/>
              <w:bottom w:val="single" w:sz="8" w:space="0" w:color="AEAEAE"/>
              <w:right w:val="single" w:sz="8" w:space="0" w:color="E0E0E0"/>
            </w:tcBorders>
            <w:shd w:val="clear" w:color="auto" w:fill="auto"/>
          </w:tcPr>
          <w:p w14:paraId="74485A6A"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w:t>
            </w:r>
          </w:p>
        </w:tc>
        <w:tc>
          <w:tcPr>
            <w:tcW w:w="1483" w:type="dxa"/>
            <w:tcBorders>
              <w:top w:val="single" w:sz="8" w:space="0" w:color="AEAEAE"/>
              <w:left w:val="single" w:sz="8" w:space="0" w:color="E0E0E0"/>
              <w:bottom w:val="single" w:sz="8" w:space="0" w:color="AEAEAE"/>
              <w:right w:val="nil"/>
            </w:tcBorders>
            <w:shd w:val="clear" w:color="auto" w:fill="auto"/>
          </w:tcPr>
          <w:p w14:paraId="16C185CD"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,000</w:t>
            </w:r>
          </w:p>
        </w:tc>
      </w:tr>
      <w:tr w:rsidR="00EB5E7F" w:rsidRPr="00EB5E7F" w14:paraId="1C88FE83" w14:textId="77777777" w:rsidTr="006D133C">
        <w:trPr>
          <w:cantSplit/>
          <w:trHeight w:val="217"/>
        </w:trPr>
        <w:tc>
          <w:tcPr>
            <w:tcW w:w="1144" w:type="dxa"/>
            <w:vMerge/>
            <w:tcBorders>
              <w:top w:val="single" w:sz="8" w:space="0" w:color="152935"/>
              <w:left w:val="nil"/>
              <w:bottom w:val="single" w:sz="8" w:space="0" w:color="152935"/>
              <w:right w:val="nil"/>
            </w:tcBorders>
            <w:shd w:val="clear" w:color="auto" w:fill="auto"/>
          </w:tcPr>
          <w:p w14:paraId="67AA5D87"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804" w:type="dxa"/>
            <w:vMerge/>
            <w:tcBorders>
              <w:top w:val="single" w:sz="8" w:space="0" w:color="152935"/>
              <w:left w:val="nil"/>
              <w:bottom w:val="nil"/>
              <w:right w:val="nil"/>
            </w:tcBorders>
            <w:shd w:val="clear" w:color="auto" w:fill="auto"/>
          </w:tcPr>
          <w:p w14:paraId="0DD2FACF"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628" w:type="dxa"/>
            <w:tcBorders>
              <w:top w:val="single" w:sz="8" w:space="0" w:color="AEAEAE"/>
              <w:left w:val="nil"/>
              <w:bottom w:val="nil"/>
              <w:right w:val="nil"/>
            </w:tcBorders>
            <w:shd w:val="clear" w:color="auto" w:fill="auto"/>
          </w:tcPr>
          <w:p w14:paraId="71EC86DA"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N</w:t>
            </w:r>
          </w:p>
        </w:tc>
        <w:tc>
          <w:tcPr>
            <w:tcW w:w="2146" w:type="dxa"/>
            <w:tcBorders>
              <w:top w:val="single" w:sz="8" w:space="0" w:color="AEAEAE"/>
              <w:left w:val="nil"/>
              <w:bottom w:val="nil"/>
              <w:right w:val="single" w:sz="8" w:space="0" w:color="E0E0E0"/>
            </w:tcBorders>
            <w:shd w:val="clear" w:color="auto" w:fill="auto"/>
          </w:tcPr>
          <w:p w14:paraId="19FE471E"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100</w:t>
            </w:r>
          </w:p>
        </w:tc>
        <w:tc>
          <w:tcPr>
            <w:tcW w:w="1483" w:type="dxa"/>
            <w:tcBorders>
              <w:top w:val="single" w:sz="8" w:space="0" w:color="AEAEAE"/>
              <w:left w:val="single" w:sz="8" w:space="0" w:color="E0E0E0"/>
              <w:bottom w:val="nil"/>
              <w:right w:val="nil"/>
            </w:tcBorders>
            <w:shd w:val="clear" w:color="auto" w:fill="auto"/>
          </w:tcPr>
          <w:p w14:paraId="4AFB0F5B"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100</w:t>
            </w:r>
          </w:p>
        </w:tc>
      </w:tr>
      <w:tr w:rsidR="00EB5E7F" w:rsidRPr="00EB5E7F" w14:paraId="6369B3D3" w14:textId="77777777" w:rsidTr="006D133C">
        <w:trPr>
          <w:cantSplit/>
          <w:trHeight w:val="652"/>
        </w:trPr>
        <w:tc>
          <w:tcPr>
            <w:tcW w:w="1144" w:type="dxa"/>
            <w:vMerge/>
            <w:tcBorders>
              <w:top w:val="single" w:sz="8" w:space="0" w:color="152935"/>
              <w:left w:val="nil"/>
              <w:bottom w:val="single" w:sz="8" w:space="0" w:color="152935"/>
              <w:right w:val="nil"/>
            </w:tcBorders>
            <w:shd w:val="clear" w:color="auto" w:fill="auto"/>
          </w:tcPr>
          <w:p w14:paraId="4E98A302"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804" w:type="dxa"/>
            <w:vMerge w:val="restart"/>
            <w:tcBorders>
              <w:top w:val="single" w:sz="8" w:space="0" w:color="AEAEAE"/>
              <w:left w:val="nil"/>
              <w:bottom w:val="single" w:sz="8" w:space="0" w:color="152935"/>
              <w:right w:val="nil"/>
            </w:tcBorders>
            <w:shd w:val="clear" w:color="auto" w:fill="auto"/>
          </w:tcPr>
          <w:p w14:paraId="50B25F23"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bCs/>
                <w:sz w:val="24"/>
                <w:szCs w:val="24"/>
              </w:rPr>
              <w:t>Políticas de desarrollo sostenible</w:t>
            </w:r>
          </w:p>
        </w:tc>
        <w:tc>
          <w:tcPr>
            <w:tcW w:w="1628" w:type="dxa"/>
            <w:tcBorders>
              <w:top w:val="single" w:sz="8" w:space="0" w:color="AEAEAE"/>
              <w:left w:val="nil"/>
              <w:bottom w:val="single" w:sz="8" w:space="0" w:color="AEAEAE"/>
              <w:right w:val="nil"/>
            </w:tcBorders>
            <w:shd w:val="clear" w:color="auto" w:fill="auto"/>
          </w:tcPr>
          <w:p w14:paraId="65F8B2A1"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Coeficiente de correlación</w:t>
            </w:r>
          </w:p>
        </w:tc>
        <w:tc>
          <w:tcPr>
            <w:tcW w:w="2146" w:type="dxa"/>
            <w:tcBorders>
              <w:top w:val="single" w:sz="8" w:space="0" w:color="AEAEAE"/>
              <w:left w:val="nil"/>
              <w:bottom w:val="single" w:sz="8" w:space="0" w:color="AEAEAE"/>
              <w:right w:val="single" w:sz="8" w:space="0" w:color="E0E0E0"/>
            </w:tcBorders>
            <w:shd w:val="clear" w:color="auto" w:fill="auto"/>
          </w:tcPr>
          <w:p w14:paraId="10E9C06E"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 732</w:t>
            </w:r>
            <w:r w:rsidRPr="006D133C">
              <w:rPr>
                <w:rFonts w:ascii="Times New Roman" w:eastAsia="Calibri" w:hAnsi="Times New Roman" w:cs="Times New Roman"/>
                <w:sz w:val="24"/>
                <w:szCs w:val="24"/>
                <w:vertAlign w:val="superscript"/>
              </w:rPr>
              <w:t>**</w:t>
            </w:r>
          </w:p>
        </w:tc>
        <w:tc>
          <w:tcPr>
            <w:tcW w:w="1483" w:type="dxa"/>
            <w:tcBorders>
              <w:top w:val="single" w:sz="8" w:space="0" w:color="AEAEAE"/>
              <w:left w:val="single" w:sz="8" w:space="0" w:color="E0E0E0"/>
              <w:bottom w:val="single" w:sz="8" w:space="0" w:color="AEAEAE"/>
              <w:right w:val="nil"/>
            </w:tcBorders>
            <w:shd w:val="clear" w:color="auto" w:fill="auto"/>
          </w:tcPr>
          <w:p w14:paraId="7287EBB0"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1,000</w:t>
            </w:r>
          </w:p>
        </w:tc>
      </w:tr>
      <w:tr w:rsidR="00EB5E7F" w:rsidRPr="00EB5E7F" w14:paraId="30EA9B70" w14:textId="77777777" w:rsidTr="006D133C">
        <w:trPr>
          <w:cantSplit/>
          <w:trHeight w:val="435"/>
        </w:trPr>
        <w:tc>
          <w:tcPr>
            <w:tcW w:w="1144" w:type="dxa"/>
            <w:vMerge/>
            <w:tcBorders>
              <w:top w:val="single" w:sz="8" w:space="0" w:color="152935"/>
              <w:left w:val="nil"/>
              <w:bottom w:val="single" w:sz="8" w:space="0" w:color="152935"/>
              <w:right w:val="nil"/>
            </w:tcBorders>
            <w:shd w:val="clear" w:color="auto" w:fill="auto"/>
          </w:tcPr>
          <w:p w14:paraId="69248D47"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804" w:type="dxa"/>
            <w:vMerge/>
            <w:tcBorders>
              <w:top w:val="single" w:sz="8" w:space="0" w:color="AEAEAE"/>
              <w:left w:val="nil"/>
              <w:bottom w:val="single" w:sz="8" w:space="0" w:color="152935"/>
              <w:right w:val="nil"/>
            </w:tcBorders>
            <w:shd w:val="clear" w:color="auto" w:fill="auto"/>
          </w:tcPr>
          <w:p w14:paraId="3A4CBEA6"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628" w:type="dxa"/>
            <w:tcBorders>
              <w:top w:val="single" w:sz="8" w:space="0" w:color="AEAEAE"/>
              <w:left w:val="nil"/>
              <w:bottom w:val="single" w:sz="8" w:space="0" w:color="AEAEAE"/>
              <w:right w:val="nil"/>
            </w:tcBorders>
            <w:shd w:val="clear" w:color="auto" w:fill="auto"/>
          </w:tcPr>
          <w:p w14:paraId="2D3AC8B0"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Sig. (bilateral)</w:t>
            </w:r>
          </w:p>
        </w:tc>
        <w:tc>
          <w:tcPr>
            <w:tcW w:w="2146" w:type="dxa"/>
            <w:tcBorders>
              <w:top w:val="single" w:sz="8" w:space="0" w:color="AEAEAE"/>
              <w:left w:val="nil"/>
              <w:bottom w:val="single" w:sz="8" w:space="0" w:color="AEAEAE"/>
              <w:right w:val="single" w:sz="8" w:space="0" w:color="E0E0E0"/>
            </w:tcBorders>
            <w:shd w:val="clear" w:color="auto" w:fill="auto"/>
          </w:tcPr>
          <w:p w14:paraId="4331CE5F"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,000</w:t>
            </w:r>
          </w:p>
        </w:tc>
        <w:tc>
          <w:tcPr>
            <w:tcW w:w="1483" w:type="dxa"/>
            <w:tcBorders>
              <w:top w:val="single" w:sz="8" w:space="0" w:color="AEAEAE"/>
              <w:left w:val="single" w:sz="8" w:space="0" w:color="E0E0E0"/>
              <w:bottom w:val="single" w:sz="8" w:space="0" w:color="AEAEAE"/>
              <w:right w:val="nil"/>
            </w:tcBorders>
            <w:shd w:val="clear" w:color="auto" w:fill="auto"/>
          </w:tcPr>
          <w:p w14:paraId="68C6E275"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w:t>
            </w:r>
          </w:p>
        </w:tc>
      </w:tr>
      <w:tr w:rsidR="00EB5E7F" w:rsidRPr="00EB5E7F" w14:paraId="3821ECAE" w14:textId="77777777" w:rsidTr="006D133C">
        <w:trPr>
          <w:cantSplit/>
          <w:trHeight w:val="228"/>
        </w:trPr>
        <w:tc>
          <w:tcPr>
            <w:tcW w:w="1144" w:type="dxa"/>
            <w:vMerge/>
            <w:tcBorders>
              <w:top w:val="single" w:sz="8" w:space="0" w:color="152935"/>
              <w:left w:val="nil"/>
              <w:bottom w:val="single" w:sz="8" w:space="0" w:color="152935"/>
              <w:right w:val="nil"/>
            </w:tcBorders>
            <w:shd w:val="clear" w:color="auto" w:fill="auto"/>
          </w:tcPr>
          <w:p w14:paraId="3359F7F9"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804" w:type="dxa"/>
            <w:vMerge/>
            <w:tcBorders>
              <w:top w:val="single" w:sz="8" w:space="0" w:color="AEAEAE"/>
              <w:left w:val="nil"/>
              <w:bottom w:val="single" w:sz="8" w:space="0" w:color="152935"/>
              <w:right w:val="nil"/>
            </w:tcBorders>
            <w:shd w:val="clear" w:color="auto" w:fill="auto"/>
          </w:tcPr>
          <w:p w14:paraId="1D8ACE98" w14:textId="77777777" w:rsidR="00EB5E7F" w:rsidRPr="006D133C" w:rsidRDefault="00EB5E7F" w:rsidP="006D133C">
            <w:pPr>
              <w:autoSpaceDE w:val="0"/>
              <w:autoSpaceDN w:val="0"/>
              <w:adjustRightInd w:val="0"/>
              <w:spacing w:after="0" w:line="240" w:lineRule="auto"/>
              <w:ind w:left="360"/>
              <w:rPr>
                <w:rFonts w:ascii="Times New Roman" w:eastAsia="Calibri" w:hAnsi="Times New Roman" w:cs="Times New Roman"/>
                <w:sz w:val="24"/>
                <w:szCs w:val="24"/>
              </w:rPr>
            </w:pPr>
          </w:p>
        </w:tc>
        <w:tc>
          <w:tcPr>
            <w:tcW w:w="1628" w:type="dxa"/>
            <w:tcBorders>
              <w:top w:val="single" w:sz="8" w:space="0" w:color="AEAEAE"/>
              <w:left w:val="nil"/>
              <w:bottom w:val="single" w:sz="8" w:space="0" w:color="152935"/>
              <w:right w:val="nil"/>
            </w:tcBorders>
            <w:shd w:val="clear" w:color="auto" w:fill="auto"/>
          </w:tcPr>
          <w:p w14:paraId="71246D77"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N</w:t>
            </w:r>
          </w:p>
        </w:tc>
        <w:tc>
          <w:tcPr>
            <w:tcW w:w="2146" w:type="dxa"/>
            <w:tcBorders>
              <w:top w:val="single" w:sz="8" w:space="0" w:color="AEAEAE"/>
              <w:left w:val="nil"/>
              <w:bottom w:val="single" w:sz="8" w:space="0" w:color="152935"/>
              <w:right w:val="single" w:sz="8" w:space="0" w:color="E0E0E0"/>
            </w:tcBorders>
            <w:shd w:val="clear" w:color="auto" w:fill="auto"/>
          </w:tcPr>
          <w:p w14:paraId="1D885CAD"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100</w:t>
            </w:r>
          </w:p>
        </w:tc>
        <w:tc>
          <w:tcPr>
            <w:tcW w:w="1483" w:type="dxa"/>
            <w:tcBorders>
              <w:top w:val="single" w:sz="8" w:space="0" w:color="AEAEAE"/>
              <w:left w:val="single" w:sz="8" w:space="0" w:color="E0E0E0"/>
              <w:bottom w:val="single" w:sz="8" w:space="0" w:color="152935"/>
              <w:right w:val="nil"/>
            </w:tcBorders>
            <w:shd w:val="clear" w:color="auto" w:fill="auto"/>
          </w:tcPr>
          <w:p w14:paraId="135828CD" w14:textId="77777777" w:rsidR="00EB5E7F" w:rsidRPr="006D133C" w:rsidRDefault="00EB5E7F" w:rsidP="006D133C">
            <w:pPr>
              <w:autoSpaceDE w:val="0"/>
              <w:autoSpaceDN w:val="0"/>
              <w:adjustRightInd w:val="0"/>
              <w:spacing w:after="0" w:line="240" w:lineRule="auto"/>
              <w:ind w:left="360" w:right="60"/>
              <w:rPr>
                <w:rFonts w:ascii="Times New Roman" w:eastAsia="Calibri" w:hAnsi="Times New Roman" w:cs="Times New Roman"/>
                <w:sz w:val="24"/>
                <w:szCs w:val="24"/>
              </w:rPr>
            </w:pPr>
            <w:r w:rsidRPr="006D133C">
              <w:rPr>
                <w:rFonts w:ascii="Times New Roman" w:eastAsia="Calibri" w:hAnsi="Times New Roman" w:cs="Times New Roman"/>
                <w:sz w:val="24"/>
                <w:szCs w:val="24"/>
              </w:rPr>
              <w:t>100</w:t>
            </w:r>
          </w:p>
        </w:tc>
      </w:tr>
      <w:tr w:rsidR="00EB5E7F" w:rsidRPr="00EB5E7F" w14:paraId="72365E45" w14:textId="77777777" w:rsidTr="006D133C">
        <w:trPr>
          <w:cantSplit/>
          <w:trHeight w:val="240"/>
        </w:trPr>
        <w:tc>
          <w:tcPr>
            <w:tcW w:w="8208" w:type="dxa"/>
            <w:gridSpan w:val="5"/>
            <w:tcBorders>
              <w:top w:val="nil"/>
              <w:left w:val="nil"/>
              <w:bottom w:val="nil"/>
              <w:right w:val="nil"/>
            </w:tcBorders>
            <w:shd w:val="clear" w:color="auto" w:fill="auto"/>
          </w:tcPr>
          <w:p w14:paraId="0881AF7F" w14:textId="77777777" w:rsidR="00EB5E7F" w:rsidRPr="00EB5E7F" w:rsidRDefault="00EB5E7F" w:rsidP="00EB5E7F">
            <w:pPr>
              <w:autoSpaceDE w:val="0"/>
              <w:autoSpaceDN w:val="0"/>
              <w:adjustRightInd w:val="0"/>
              <w:spacing w:after="0" w:line="320" w:lineRule="atLeast"/>
              <w:ind w:left="60" w:right="60" w:firstLine="720"/>
              <w:jc w:val="both"/>
              <w:rPr>
                <w:rFonts w:ascii="Times New Roman" w:eastAsia="Calibri" w:hAnsi="Times New Roman" w:cs="Times New Roman"/>
                <w:sz w:val="24"/>
                <w:szCs w:val="24"/>
              </w:rPr>
            </w:pPr>
            <w:r w:rsidRPr="00EB5E7F">
              <w:rPr>
                <w:rFonts w:ascii="Times New Roman" w:eastAsia="Calibri" w:hAnsi="Times New Roman" w:cs="Times New Roman"/>
                <w:sz w:val="24"/>
                <w:szCs w:val="24"/>
              </w:rPr>
              <w:t>**. La correlación es significativa en el nivel 0,01 (bilateral).</w:t>
            </w:r>
          </w:p>
        </w:tc>
      </w:tr>
    </w:tbl>
    <w:p w14:paraId="2ACB73AE" w14:textId="77777777" w:rsidR="00EB5E7F" w:rsidRPr="00EB5E7F" w:rsidRDefault="00EB5E7F" w:rsidP="00EB5E7F">
      <w:pPr>
        <w:spacing w:after="0" w:line="480" w:lineRule="auto"/>
        <w:ind w:left="709" w:firstLine="720"/>
        <w:jc w:val="both"/>
        <w:rPr>
          <w:rFonts w:ascii="Times New Roman" w:eastAsia="Calibri" w:hAnsi="Times New Roman" w:cs="Times New Roman"/>
          <w:bCs/>
          <w:sz w:val="24"/>
          <w:szCs w:val="24"/>
          <w:lang w:eastAsia="es-PE"/>
        </w:rPr>
      </w:pPr>
      <w:r w:rsidRPr="00EB5E7F">
        <w:rPr>
          <w:rFonts w:ascii="Times New Roman" w:eastAsia="Calibri" w:hAnsi="Times New Roman" w:cs="Times New Roman"/>
          <w:bCs/>
          <w:sz w:val="24"/>
          <w:szCs w:val="24"/>
          <w:lang w:eastAsia="es-PE"/>
        </w:rPr>
        <w:t>Fuente: Elaboración Propia</w:t>
      </w:r>
    </w:p>
    <w:p w14:paraId="5A21A25E" w14:textId="77777777" w:rsidR="00EB5E7F" w:rsidRPr="00EB5E7F" w:rsidRDefault="00EB5E7F" w:rsidP="00EB5E7F">
      <w:pPr>
        <w:spacing w:after="0" w:line="480" w:lineRule="auto"/>
        <w:ind w:left="707" w:firstLine="221"/>
        <w:contextualSpacing/>
        <w:jc w:val="both"/>
        <w:rPr>
          <w:rFonts w:ascii="Times New Roman" w:eastAsia="Calibri" w:hAnsi="Times New Roman" w:cs="Times New Roman"/>
          <w:sz w:val="24"/>
          <w:szCs w:val="22"/>
        </w:rPr>
      </w:pPr>
      <w:r w:rsidRPr="00EB5E7F">
        <w:rPr>
          <w:rFonts w:ascii="Times New Roman" w:eastAsia="Calibri" w:hAnsi="Times New Roman" w:cs="Times New Roman"/>
          <w:b/>
          <w:i/>
          <w:sz w:val="24"/>
          <w:szCs w:val="24"/>
        </w:rPr>
        <w:t>Interpretación:</w:t>
      </w:r>
      <w:r w:rsidRPr="00EB5E7F">
        <w:rPr>
          <w:rFonts w:ascii="Times New Roman" w:eastAsia="Calibri" w:hAnsi="Times New Roman" w:cs="Times New Roman"/>
          <w:i/>
          <w:sz w:val="24"/>
          <w:szCs w:val="24"/>
        </w:rPr>
        <w:t xml:space="preserve"> </w:t>
      </w:r>
      <w:r w:rsidRPr="00EB5E7F">
        <w:rPr>
          <w:rFonts w:ascii="Times New Roman" w:eastAsia="Calibri" w:hAnsi="Times New Roman" w:cs="Times New Roman"/>
          <w:sz w:val="24"/>
          <w:szCs w:val="24"/>
        </w:rPr>
        <w:t xml:space="preserve">Según los resultados obtenidos para comprobar la hipótesis especifica 3 se ha obtenido que el coeficiente de correlación Rho de Spearman, que tiene el valor de 0. 732** y </w:t>
      </w:r>
      <w:proofErr w:type="gramStart"/>
      <w:r w:rsidRPr="00EB5E7F">
        <w:rPr>
          <w:rFonts w:ascii="Times New Roman" w:eastAsia="Calibri" w:hAnsi="Times New Roman" w:cs="Times New Roman"/>
          <w:sz w:val="24"/>
          <w:szCs w:val="24"/>
        </w:rPr>
        <w:t>el sigma</w:t>
      </w:r>
      <w:proofErr w:type="gramEnd"/>
      <w:r w:rsidRPr="00EB5E7F">
        <w:rPr>
          <w:rFonts w:ascii="Times New Roman" w:eastAsia="Calibri" w:hAnsi="Times New Roman" w:cs="Times New Roman"/>
          <w:sz w:val="24"/>
          <w:szCs w:val="24"/>
        </w:rPr>
        <w:t xml:space="preserve"> (bilateral) es de 0,000 el mismo que es menor al parámetro teórico de 0,05 lo que nos permite afirmar que la hipótesis alterna se cumple entonces: </w:t>
      </w:r>
      <w:r w:rsidRPr="00EB5E7F">
        <w:rPr>
          <w:rFonts w:ascii="Times New Roman" w:eastAsia="Calibri" w:hAnsi="Times New Roman" w:cs="Times New Roman"/>
          <w:bCs/>
          <w:sz w:val="24"/>
          <w:szCs w:val="24"/>
        </w:rPr>
        <w:t>Los Centros Mineros Artesanales (CMA) en proceso de formalización minera no se relacionan con las políticas de desarrollo sostenible en la minería peruana.</w:t>
      </w:r>
    </w:p>
    <w:p w14:paraId="575EC6EA" w14:textId="77777777" w:rsidR="00EB5E7F" w:rsidRPr="00EB5E7F" w:rsidRDefault="00EB5E7F" w:rsidP="00EB5E7F">
      <w:pPr>
        <w:numPr>
          <w:ilvl w:val="0"/>
          <w:numId w:val="18"/>
        </w:numPr>
        <w:spacing w:after="0" w:line="480" w:lineRule="auto"/>
        <w:ind w:left="567" w:hanging="425"/>
        <w:contextualSpacing/>
        <w:jc w:val="both"/>
        <w:rPr>
          <w:rFonts w:ascii="Times New Roman" w:eastAsia="Calibri" w:hAnsi="Times New Roman" w:cs="Times New Roman"/>
          <w:b/>
          <w:iCs/>
          <w:sz w:val="24"/>
          <w:szCs w:val="24"/>
        </w:rPr>
      </w:pPr>
      <w:r w:rsidRPr="00EB5E7F">
        <w:rPr>
          <w:rFonts w:ascii="Times New Roman" w:eastAsia="Calibri" w:hAnsi="Times New Roman" w:cs="Times New Roman"/>
          <w:b/>
          <w:iCs/>
          <w:sz w:val="24"/>
          <w:szCs w:val="24"/>
        </w:rPr>
        <w:t>Hipótesis específica 5.</w:t>
      </w:r>
    </w:p>
    <w:p w14:paraId="6A01E5E2" w14:textId="77777777" w:rsidR="00EB5E7F" w:rsidRPr="00EB5E7F" w:rsidRDefault="00EB5E7F" w:rsidP="00EB5E7F">
      <w:pPr>
        <w:tabs>
          <w:tab w:val="left" w:pos="1843"/>
        </w:tabs>
        <w:spacing w:after="0" w:line="480" w:lineRule="auto"/>
        <w:ind w:left="567" w:firstLine="720"/>
        <w:contextualSpacing/>
        <w:jc w:val="both"/>
        <w:rPr>
          <w:rFonts w:ascii="Times New Roman" w:eastAsia="Times New Roman" w:hAnsi="Times New Roman" w:cs="Times New Roman"/>
          <w:bCs/>
          <w:kern w:val="24"/>
          <w:sz w:val="24"/>
          <w:szCs w:val="24"/>
          <w:lang w:eastAsia="es-PE"/>
        </w:rPr>
      </w:pPr>
      <w:r w:rsidRPr="00EB5E7F">
        <w:rPr>
          <w:rFonts w:ascii="Times New Roman" w:eastAsia="Calibri" w:hAnsi="Times New Roman" w:cs="Times New Roman"/>
          <w:b/>
          <w:sz w:val="24"/>
          <w:szCs w:val="24"/>
        </w:rPr>
        <w:t xml:space="preserve">Ho: </w:t>
      </w:r>
      <w:r w:rsidRPr="00EB5E7F">
        <w:rPr>
          <w:rFonts w:ascii="Times New Roman" w:eastAsia="Times New Roman" w:hAnsi="Times New Roman" w:cs="Times New Roman"/>
          <w:bCs/>
          <w:kern w:val="24"/>
          <w:sz w:val="24"/>
          <w:szCs w:val="24"/>
          <w:lang w:eastAsia="es-PE"/>
        </w:rPr>
        <w:t>Las condiciones de vida y educativas en los CMA en proceso de formalización no se relacionan con las políticas de desarrollo sostenible en la minería peruana.</w:t>
      </w:r>
    </w:p>
    <w:p w14:paraId="65DCF800" w14:textId="77777777" w:rsidR="00EB5E7F" w:rsidRPr="00EB5E7F" w:rsidRDefault="00EB5E7F" w:rsidP="00EB5E7F">
      <w:pPr>
        <w:tabs>
          <w:tab w:val="left" w:pos="1843"/>
        </w:tabs>
        <w:spacing w:after="0" w:line="480" w:lineRule="auto"/>
        <w:ind w:left="567" w:firstLine="720"/>
        <w:contextualSpacing/>
        <w:jc w:val="both"/>
        <w:rPr>
          <w:rFonts w:ascii="Times New Roman" w:eastAsia="Times New Roman" w:hAnsi="Times New Roman" w:cs="Times New Roman"/>
          <w:bCs/>
          <w:kern w:val="24"/>
          <w:sz w:val="24"/>
          <w:szCs w:val="24"/>
          <w:lang w:eastAsia="es-PE"/>
        </w:rPr>
      </w:pPr>
      <w:r w:rsidRPr="00EB5E7F">
        <w:rPr>
          <w:rFonts w:ascii="Times New Roman" w:eastAsia="Calibri" w:hAnsi="Times New Roman" w:cs="Times New Roman"/>
          <w:b/>
          <w:sz w:val="24"/>
          <w:szCs w:val="24"/>
        </w:rPr>
        <w:t xml:space="preserve">Ha: </w:t>
      </w:r>
      <w:r w:rsidRPr="00EB5E7F">
        <w:rPr>
          <w:rFonts w:ascii="Times New Roman" w:eastAsia="Times New Roman" w:hAnsi="Times New Roman" w:cs="Times New Roman"/>
          <w:bCs/>
          <w:kern w:val="24"/>
          <w:sz w:val="24"/>
          <w:szCs w:val="24"/>
          <w:lang w:eastAsia="es-PE"/>
        </w:rPr>
        <w:t>Las condiciones de vida y educativas en los CMA en proceso de formalización se relacionan con las políticas de desarrollo sostenible en la minería peruana.</w:t>
      </w:r>
    </w:p>
    <w:p w14:paraId="6922FD3A" w14:textId="7CD8E857" w:rsidR="00EB5E7F" w:rsidRPr="00EB5E7F" w:rsidRDefault="00EB5E7F" w:rsidP="006D133C">
      <w:pPr>
        <w:keepNext/>
        <w:spacing w:after="0" w:line="240" w:lineRule="auto"/>
        <w:ind w:left="567"/>
        <w:jc w:val="both"/>
        <w:rPr>
          <w:rFonts w:ascii="Times New Roman" w:eastAsia="Calibri" w:hAnsi="Times New Roman" w:cs="Times New Roman"/>
          <w:i/>
          <w:iCs/>
          <w:sz w:val="22"/>
          <w:szCs w:val="22"/>
        </w:rPr>
      </w:pPr>
      <w:bookmarkStart w:id="21" w:name="_Toc95394733"/>
      <w:r w:rsidRPr="00EB5E7F">
        <w:rPr>
          <w:rFonts w:ascii="Times New Roman" w:eastAsia="Calibri" w:hAnsi="Times New Roman" w:cs="Times New Roman"/>
          <w:b/>
          <w:bCs/>
          <w:sz w:val="22"/>
          <w:szCs w:val="22"/>
        </w:rPr>
        <w:t>Tabla</w:t>
      </w:r>
      <w:r w:rsidR="006D133C" w:rsidRPr="006D133C">
        <w:rPr>
          <w:rFonts w:ascii="Times New Roman" w:eastAsia="Calibri" w:hAnsi="Times New Roman" w:cs="Times New Roman"/>
          <w:b/>
          <w:bCs/>
          <w:sz w:val="22"/>
          <w:szCs w:val="22"/>
        </w:rPr>
        <w:tab/>
        <w:t>6</w:t>
      </w:r>
      <w:r w:rsidRPr="00EB5E7F">
        <w:rPr>
          <w:rFonts w:ascii="Times New Roman" w:eastAsia="Calibri" w:hAnsi="Times New Roman" w:cs="Times New Roman"/>
          <w:b/>
          <w:bCs/>
          <w:sz w:val="22"/>
          <w:szCs w:val="22"/>
        </w:rPr>
        <w:t>.</w:t>
      </w:r>
      <w:r w:rsidRPr="00EB5E7F">
        <w:rPr>
          <w:rFonts w:ascii="Times New Roman" w:eastAsia="Calibri" w:hAnsi="Times New Roman" w:cs="Times New Roman"/>
          <w:i/>
          <w:iCs/>
          <w:sz w:val="22"/>
          <w:szCs w:val="22"/>
        </w:rPr>
        <w:t xml:space="preserve"> </w:t>
      </w:r>
      <w:r w:rsidRPr="00EB5E7F">
        <w:rPr>
          <w:rFonts w:ascii="Times New Roman" w:eastAsia="Calibri" w:hAnsi="Times New Roman" w:cs="Times New Roman"/>
          <w:i/>
          <w:iCs/>
          <w:sz w:val="22"/>
          <w:szCs w:val="22"/>
        </w:rPr>
        <w:br/>
        <w:t>Correlación entre las condiciones de vida y educativas en los CMA en proceso de formalización y las políticas de desarrollo sostenible en la minería peruana.</w:t>
      </w:r>
      <w:bookmarkEnd w:id="21"/>
    </w:p>
    <w:tbl>
      <w:tblPr>
        <w:tblW w:w="813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788"/>
        <w:gridCol w:w="1614"/>
        <w:gridCol w:w="2127"/>
        <w:gridCol w:w="1470"/>
      </w:tblGrid>
      <w:tr w:rsidR="00EB5E7F" w:rsidRPr="00EB5E7F" w14:paraId="430C002F" w14:textId="77777777" w:rsidTr="00E62D63">
        <w:trPr>
          <w:cantSplit/>
        </w:trPr>
        <w:tc>
          <w:tcPr>
            <w:tcW w:w="4536" w:type="dxa"/>
            <w:gridSpan w:val="3"/>
            <w:tcBorders>
              <w:top w:val="nil"/>
              <w:left w:val="nil"/>
              <w:bottom w:val="single" w:sz="8" w:space="0" w:color="152935"/>
              <w:right w:val="nil"/>
            </w:tcBorders>
            <w:shd w:val="clear" w:color="auto" w:fill="auto"/>
            <w:vAlign w:val="bottom"/>
          </w:tcPr>
          <w:p w14:paraId="7E59831E"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2127" w:type="dxa"/>
            <w:tcBorders>
              <w:top w:val="nil"/>
              <w:left w:val="nil"/>
              <w:bottom w:val="single" w:sz="8" w:space="0" w:color="152935"/>
              <w:right w:val="single" w:sz="8" w:space="0" w:color="E0E0E0"/>
            </w:tcBorders>
            <w:shd w:val="clear" w:color="auto" w:fill="auto"/>
            <w:vAlign w:val="bottom"/>
          </w:tcPr>
          <w:p w14:paraId="4B08091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Times New Roman" w:hAnsi="Times New Roman" w:cs="Times New Roman"/>
                <w:bCs/>
                <w:kern w:val="24"/>
                <w:sz w:val="24"/>
                <w:szCs w:val="24"/>
                <w:lang w:eastAsia="es-PE"/>
              </w:rPr>
              <w:t>Condiciones de vida y educativas en los CMA en proceso de formalización</w:t>
            </w:r>
          </w:p>
        </w:tc>
        <w:tc>
          <w:tcPr>
            <w:tcW w:w="1470" w:type="dxa"/>
            <w:tcBorders>
              <w:top w:val="nil"/>
              <w:left w:val="single" w:sz="8" w:space="0" w:color="E0E0E0"/>
              <w:bottom w:val="single" w:sz="8" w:space="0" w:color="152935"/>
              <w:right w:val="nil"/>
            </w:tcBorders>
            <w:shd w:val="clear" w:color="auto" w:fill="auto"/>
            <w:vAlign w:val="bottom"/>
          </w:tcPr>
          <w:p w14:paraId="0E508BB3"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r>
      <w:tr w:rsidR="00EB5E7F" w:rsidRPr="00EB5E7F" w14:paraId="01BC16E2" w14:textId="77777777" w:rsidTr="00E62D63">
        <w:trPr>
          <w:cantSplit/>
        </w:trPr>
        <w:tc>
          <w:tcPr>
            <w:tcW w:w="1134" w:type="dxa"/>
            <w:vMerge w:val="restart"/>
            <w:tcBorders>
              <w:top w:val="single" w:sz="8" w:space="0" w:color="152935"/>
              <w:left w:val="nil"/>
              <w:bottom w:val="single" w:sz="8" w:space="0" w:color="152935"/>
              <w:right w:val="nil"/>
            </w:tcBorders>
            <w:shd w:val="clear" w:color="auto" w:fill="auto"/>
          </w:tcPr>
          <w:p w14:paraId="3E6FE0B8"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Rho de Spearman</w:t>
            </w:r>
          </w:p>
        </w:tc>
        <w:tc>
          <w:tcPr>
            <w:tcW w:w="1788" w:type="dxa"/>
            <w:vMerge w:val="restart"/>
            <w:tcBorders>
              <w:top w:val="single" w:sz="8" w:space="0" w:color="152935"/>
              <w:left w:val="nil"/>
              <w:bottom w:val="nil"/>
              <w:right w:val="nil"/>
            </w:tcBorders>
            <w:shd w:val="clear" w:color="auto" w:fill="auto"/>
          </w:tcPr>
          <w:p w14:paraId="650CBDE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Times New Roman" w:hAnsi="Times New Roman" w:cs="Times New Roman"/>
                <w:bCs/>
                <w:kern w:val="24"/>
                <w:sz w:val="24"/>
                <w:szCs w:val="24"/>
                <w:lang w:eastAsia="es-PE"/>
              </w:rPr>
              <w:t>Condiciones de vida y educativas en los CMA en proceso de formalización</w:t>
            </w:r>
          </w:p>
        </w:tc>
        <w:tc>
          <w:tcPr>
            <w:tcW w:w="1614" w:type="dxa"/>
            <w:tcBorders>
              <w:top w:val="single" w:sz="8" w:space="0" w:color="152935"/>
              <w:left w:val="nil"/>
              <w:bottom w:val="single" w:sz="8" w:space="0" w:color="AEAEAE"/>
              <w:right w:val="nil"/>
            </w:tcBorders>
            <w:shd w:val="clear" w:color="auto" w:fill="auto"/>
            <w:vAlign w:val="center"/>
          </w:tcPr>
          <w:p w14:paraId="34DEE0B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2127" w:type="dxa"/>
            <w:tcBorders>
              <w:top w:val="single" w:sz="8" w:space="0" w:color="152935"/>
              <w:left w:val="nil"/>
              <w:bottom w:val="single" w:sz="8" w:space="0" w:color="AEAEAE"/>
              <w:right w:val="single" w:sz="8" w:space="0" w:color="E0E0E0"/>
            </w:tcBorders>
            <w:shd w:val="clear" w:color="auto" w:fill="auto"/>
            <w:vAlign w:val="center"/>
          </w:tcPr>
          <w:p w14:paraId="655FF8D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c>
          <w:tcPr>
            <w:tcW w:w="1470" w:type="dxa"/>
            <w:tcBorders>
              <w:top w:val="single" w:sz="8" w:space="0" w:color="152935"/>
              <w:left w:val="single" w:sz="8" w:space="0" w:color="E0E0E0"/>
              <w:bottom w:val="single" w:sz="8" w:space="0" w:color="AEAEAE"/>
              <w:right w:val="nil"/>
            </w:tcBorders>
            <w:shd w:val="clear" w:color="auto" w:fill="auto"/>
            <w:vAlign w:val="center"/>
          </w:tcPr>
          <w:p w14:paraId="2DD93B13"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,698</w:t>
            </w:r>
            <w:r w:rsidRPr="00EB5E7F">
              <w:rPr>
                <w:rFonts w:ascii="Times New Roman" w:eastAsia="Calibri" w:hAnsi="Times New Roman" w:cs="Times New Roman"/>
                <w:sz w:val="24"/>
                <w:szCs w:val="24"/>
                <w:vertAlign w:val="superscript"/>
              </w:rPr>
              <w:t>**</w:t>
            </w:r>
          </w:p>
        </w:tc>
      </w:tr>
      <w:tr w:rsidR="00EB5E7F" w:rsidRPr="00EB5E7F" w14:paraId="60160BA7" w14:textId="77777777" w:rsidTr="00E62D63">
        <w:trPr>
          <w:cantSplit/>
        </w:trPr>
        <w:tc>
          <w:tcPr>
            <w:tcW w:w="1134" w:type="dxa"/>
            <w:vMerge/>
            <w:tcBorders>
              <w:top w:val="single" w:sz="8" w:space="0" w:color="152935"/>
              <w:left w:val="nil"/>
              <w:bottom w:val="single" w:sz="8" w:space="0" w:color="152935"/>
              <w:right w:val="nil"/>
            </w:tcBorders>
            <w:shd w:val="clear" w:color="auto" w:fill="auto"/>
          </w:tcPr>
          <w:p w14:paraId="27C67A73"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88" w:type="dxa"/>
            <w:vMerge/>
            <w:tcBorders>
              <w:top w:val="single" w:sz="8" w:space="0" w:color="152935"/>
              <w:left w:val="nil"/>
              <w:bottom w:val="nil"/>
              <w:right w:val="nil"/>
            </w:tcBorders>
            <w:shd w:val="clear" w:color="auto" w:fill="auto"/>
          </w:tcPr>
          <w:p w14:paraId="045456EA"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single" w:sz="8" w:space="0" w:color="AEAEAE"/>
              <w:right w:val="nil"/>
            </w:tcBorders>
            <w:shd w:val="clear" w:color="auto" w:fill="auto"/>
            <w:vAlign w:val="center"/>
          </w:tcPr>
          <w:p w14:paraId="3296FDEA"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2127" w:type="dxa"/>
            <w:tcBorders>
              <w:top w:val="single" w:sz="8" w:space="0" w:color="AEAEAE"/>
              <w:left w:val="nil"/>
              <w:bottom w:val="single" w:sz="8" w:space="0" w:color="AEAEAE"/>
              <w:right w:val="single" w:sz="8" w:space="0" w:color="E0E0E0"/>
            </w:tcBorders>
            <w:shd w:val="clear" w:color="auto" w:fill="auto"/>
            <w:vAlign w:val="center"/>
          </w:tcPr>
          <w:p w14:paraId="6597C89B"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c>
          <w:tcPr>
            <w:tcW w:w="1470" w:type="dxa"/>
            <w:tcBorders>
              <w:top w:val="single" w:sz="8" w:space="0" w:color="AEAEAE"/>
              <w:left w:val="single" w:sz="8" w:space="0" w:color="E0E0E0"/>
              <w:bottom w:val="single" w:sz="8" w:space="0" w:color="AEAEAE"/>
              <w:right w:val="nil"/>
            </w:tcBorders>
            <w:shd w:val="clear" w:color="auto" w:fill="auto"/>
            <w:vAlign w:val="center"/>
          </w:tcPr>
          <w:p w14:paraId="0AF7D0E8"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,002</w:t>
            </w:r>
          </w:p>
        </w:tc>
      </w:tr>
      <w:tr w:rsidR="00EB5E7F" w:rsidRPr="00EB5E7F" w14:paraId="1448723A" w14:textId="77777777" w:rsidTr="00E62D63">
        <w:trPr>
          <w:cantSplit/>
        </w:trPr>
        <w:tc>
          <w:tcPr>
            <w:tcW w:w="1134" w:type="dxa"/>
            <w:vMerge/>
            <w:tcBorders>
              <w:top w:val="single" w:sz="8" w:space="0" w:color="152935"/>
              <w:left w:val="nil"/>
              <w:bottom w:val="single" w:sz="8" w:space="0" w:color="152935"/>
              <w:right w:val="nil"/>
            </w:tcBorders>
            <w:shd w:val="clear" w:color="auto" w:fill="auto"/>
          </w:tcPr>
          <w:p w14:paraId="48C9E86C"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88" w:type="dxa"/>
            <w:vMerge/>
            <w:tcBorders>
              <w:top w:val="single" w:sz="8" w:space="0" w:color="152935"/>
              <w:left w:val="nil"/>
              <w:bottom w:val="nil"/>
              <w:right w:val="nil"/>
            </w:tcBorders>
            <w:shd w:val="clear" w:color="auto" w:fill="auto"/>
          </w:tcPr>
          <w:p w14:paraId="04E66083"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nil"/>
              <w:right w:val="nil"/>
            </w:tcBorders>
            <w:shd w:val="clear" w:color="auto" w:fill="auto"/>
            <w:vAlign w:val="center"/>
          </w:tcPr>
          <w:p w14:paraId="15113CF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2127" w:type="dxa"/>
            <w:tcBorders>
              <w:top w:val="single" w:sz="8" w:space="0" w:color="AEAEAE"/>
              <w:left w:val="nil"/>
              <w:bottom w:val="nil"/>
              <w:right w:val="single" w:sz="8" w:space="0" w:color="E0E0E0"/>
            </w:tcBorders>
            <w:shd w:val="clear" w:color="auto" w:fill="auto"/>
            <w:vAlign w:val="center"/>
          </w:tcPr>
          <w:p w14:paraId="515B7145"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470" w:type="dxa"/>
            <w:tcBorders>
              <w:top w:val="single" w:sz="8" w:space="0" w:color="AEAEAE"/>
              <w:left w:val="single" w:sz="8" w:space="0" w:color="E0E0E0"/>
              <w:bottom w:val="nil"/>
              <w:right w:val="nil"/>
            </w:tcBorders>
            <w:shd w:val="clear" w:color="auto" w:fill="auto"/>
            <w:vAlign w:val="center"/>
          </w:tcPr>
          <w:p w14:paraId="3C1532BE"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41A933E5" w14:textId="77777777" w:rsidTr="00E62D63">
        <w:trPr>
          <w:cantSplit/>
        </w:trPr>
        <w:tc>
          <w:tcPr>
            <w:tcW w:w="1134" w:type="dxa"/>
            <w:vMerge/>
            <w:tcBorders>
              <w:top w:val="single" w:sz="8" w:space="0" w:color="152935"/>
              <w:left w:val="nil"/>
              <w:bottom w:val="single" w:sz="8" w:space="0" w:color="152935"/>
              <w:right w:val="nil"/>
            </w:tcBorders>
            <w:shd w:val="clear" w:color="auto" w:fill="auto"/>
          </w:tcPr>
          <w:p w14:paraId="3A52CE52"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88" w:type="dxa"/>
            <w:vMerge w:val="restart"/>
            <w:tcBorders>
              <w:top w:val="single" w:sz="8" w:space="0" w:color="AEAEAE"/>
              <w:left w:val="nil"/>
              <w:bottom w:val="single" w:sz="8" w:space="0" w:color="152935"/>
              <w:right w:val="nil"/>
            </w:tcBorders>
            <w:shd w:val="clear" w:color="auto" w:fill="auto"/>
          </w:tcPr>
          <w:p w14:paraId="15C202E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bCs/>
                <w:sz w:val="24"/>
                <w:szCs w:val="24"/>
              </w:rPr>
              <w:t>Políticas de desarrollo sostenible</w:t>
            </w:r>
          </w:p>
        </w:tc>
        <w:tc>
          <w:tcPr>
            <w:tcW w:w="1614" w:type="dxa"/>
            <w:tcBorders>
              <w:top w:val="single" w:sz="8" w:space="0" w:color="AEAEAE"/>
              <w:left w:val="nil"/>
              <w:bottom w:val="single" w:sz="8" w:space="0" w:color="AEAEAE"/>
              <w:right w:val="nil"/>
            </w:tcBorders>
            <w:shd w:val="clear" w:color="auto" w:fill="auto"/>
            <w:vAlign w:val="center"/>
          </w:tcPr>
          <w:p w14:paraId="4EF6D72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Coeficiente de correlación</w:t>
            </w:r>
          </w:p>
        </w:tc>
        <w:tc>
          <w:tcPr>
            <w:tcW w:w="2127" w:type="dxa"/>
            <w:tcBorders>
              <w:top w:val="single" w:sz="8" w:space="0" w:color="AEAEAE"/>
              <w:left w:val="nil"/>
              <w:bottom w:val="single" w:sz="8" w:space="0" w:color="AEAEAE"/>
              <w:right w:val="single" w:sz="8" w:space="0" w:color="E0E0E0"/>
            </w:tcBorders>
            <w:shd w:val="clear" w:color="auto" w:fill="auto"/>
            <w:vAlign w:val="center"/>
          </w:tcPr>
          <w:p w14:paraId="6EA7B3B9"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 698</w:t>
            </w:r>
            <w:r w:rsidRPr="00EB5E7F">
              <w:rPr>
                <w:rFonts w:ascii="Times New Roman" w:eastAsia="Calibri" w:hAnsi="Times New Roman" w:cs="Times New Roman"/>
                <w:sz w:val="24"/>
                <w:szCs w:val="24"/>
                <w:vertAlign w:val="superscript"/>
              </w:rPr>
              <w:t>**</w:t>
            </w:r>
          </w:p>
        </w:tc>
        <w:tc>
          <w:tcPr>
            <w:tcW w:w="1470" w:type="dxa"/>
            <w:tcBorders>
              <w:top w:val="single" w:sz="8" w:space="0" w:color="AEAEAE"/>
              <w:left w:val="single" w:sz="8" w:space="0" w:color="E0E0E0"/>
              <w:bottom w:val="single" w:sz="8" w:space="0" w:color="AEAEAE"/>
              <w:right w:val="nil"/>
            </w:tcBorders>
            <w:shd w:val="clear" w:color="auto" w:fill="auto"/>
            <w:vAlign w:val="center"/>
          </w:tcPr>
          <w:p w14:paraId="32A6BCE4"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1,000</w:t>
            </w:r>
          </w:p>
        </w:tc>
      </w:tr>
      <w:tr w:rsidR="00EB5E7F" w:rsidRPr="00EB5E7F" w14:paraId="365B2997" w14:textId="77777777" w:rsidTr="00E62D63">
        <w:trPr>
          <w:cantSplit/>
        </w:trPr>
        <w:tc>
          <w:tcPr>
            <w:tcW w:w="1134" w:type="dxa"/>
            <w:vMerge/>
            <w:tcBorders>
              <w:top w:val="single" w:sz="8" w:space="0" w:color="152935"/>
              <w:left w:val="nil"/>
              <w:bottom w:val="single" w:sz="8" w:space="0" w:color="152935"/>
              <w:right w:val="nil"/>
            </w:tcBorders>
            <w:shd w:val="clear" w:color="auto" w:fill="auto"/>
          </w:tcPr>
          <w:p w14:paraId="1338B375"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88" w:type="dxa"/>
            <w:vMerge/>
            <w:tcBorders>
              <w:top w:val="single" w:sz="8" w:space="0" w:color="AEAEAE"/>
              <w:left w:val="nil"/>
              <w:bottom w:val="single" w:sz="8" w:space="0" w:color="152935"/>
              <w:right w:val="nil"/>
            </w:tcBorders>
            <w:shd w:val="clear" w:color="auto" w:fill="auto"/>
          </w:tcPr>
          <w:p w14:paraId="01494C20"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single" w:sz="8" w:space="0" w:color="AEAEAE"/>
              <w:right w:val="nil"/>
            </w:tcBorders>
            <w:shd w:val="clear" w:color="auto" w:fill="auto"/>
            <w:vAlign w:val="center"/>
          </w:tcPr>
          <w:p w14:paraId="73FA1913"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Sig. (bilateral)</w:t>
            </w:r>
          </w:p>
        </w:tc>
        <w:tc>
          <w:tcPr>
            <w:tcW w:w="2127" w:type="dxa"/>
            <w:tcBorders>
              <w:top w:val="single" w:sz="8" w:space="0" w:color="AEAEAE"/>
              <w:left w:val="nil"/>
              <w:bottom w:val="single" w:sz="8" w:space="0" w:color="AEAEAE"/>
              <w:right w:val="single" w:sz="8" w:space="0" w:color="E0E0E0"/>
            </w:tcBorders>
            <w:shd w:val="clear" w:color="auto" w:fill="auto"/>
            <w:vAlign w:val="center"/>
          </w:tcPr>
          <w:p w14:paraId="5CA0E99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,000</w:t>
            </w:r>
          </w:p>
        </w:tc>
        <w:tc>
          <w:tcPr>
            <w:tcW w:w="1470" w:type="dxa"/>
            <w:tcBorders>
              <w:top w:val="single" w:sz="8" w:space="0" w:color="AEAEAE"/>
              <w:left w:val="single" w:sz="8" w:space="0" w:color="E0E0E0"/>
              <w:bottom w:val="single" w:sz="8" w:space="0" w:color="AEAEAE"/>
              <w:right w:val="nil"/>
            </w:tcBorders>
            <w:shd w:val="clear" w:color="auto" w:fill="auto"/>
            <w:vAlign w:val="center"/>
          </w:tcPr>
          <w:p w14:paraId="242EE6DB"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w:t>
            </w:r>
          </w:p>
        </w:tc>
      </w:tr>
      <w:tr w:rsidR="00EB5E7F" w:rsidRPr="00EB5E7F" w14:paraId="4142229E" w14:textId="77777777" w:rsidTr="00E62D63">
        <w:trPr>
          <w:cantSplit/>
        </w:trPr>
        <w:tc>
          <w:tcPr>
            <w:tcW w:w="1134" w:type="dxa"/>
            <w:vMerge/>
            <w:tcBorders>
              <w:top w:val="single" w:sz="8" w:space="0" w:color="152935"/>
              <w:left w:val="nil"/>
              <w:bottom w:val="single" w:sz="8" w:space="0" w:color="152935"/>
              <w:right w:val="nil"/>
            </w:tcBorders>
            <w:shd w:val="clear" w:color="auto" w:fill="auto"/>
          </w:tcPr>
          <w:p w14:paraId="62574B03"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788" w:type="dxa"/>
            <w:vMerge/>
            <w:tcBorders>
              <w:top w:val="single" w:sz="8" w:space="0" w:color="AEAEAE"/>
              <w:left w:val="nil"/>
              <w:bottom w:val="single" w:sz="8" w:space="0" w:color="152935"/>
              <w:right w:val="nil"/>
            </w:tcBorders>
            <w:shd w:val="clear" w:color="auto" w:fill="auto"/>
          </w:tcPr>
          <w:p w14:paraId="49E5A508" w14:textId="77777777" w:rsidR="00EB5E7F" w:rsidRPr="00EB5E7F" w:rsidRDefault="00EB5E7F" w:rsidP="006D133C">
            <w:pPr>
              <w:autoSpaceDE w:val="0"/>
              <w:autoSpaceDN w:val="0"/>
              <w:adjustRightInd w:val="0"/>
              <w:spacing w:after="0" w:line="240" w:lineRule="auto"/>
              <w:rPr>
                <w:rFonts w:ascii="Times New Roman" w:eastAsia="Calibri" w:hAnsi="Times New Roman" w:cs="Times New Roman"/>
                <w:sz w:val="24"/>
                <w:szCs w:val="24"/>
              </w:rPr>
            </w:pPr>
          </w:p>
        </w:tc>
        <w:tc>
          <w:tcPr>
            <w:tcW w:w="1614" w:type="dxa"/>
            <w:tcBorders>
              <w:top w:val="single" w:sz="8" w:space="0" w:color="AEAEAE"/>
              <w:left w:val="nil"/>
              <w:bottom w:val="single" w:sz="8" w:space="0" w:color="152935"/>
              <w:right w:val="nil"/>
            </w:tcBorders>
            <w:shd w:val="clear" w:color="auto" w:fill="auto"/>
            <w:vAlign w:val="center"/>
          </w:tcPr>
          <w:p w14:paraId="09F8EFD0"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N</w:t>
            </w:r>
          </w:p>
        </w:tc>
        <w:tc>
          <w:tcPr>
            <w:tcW w:w="2127" w:type="dxa"/>
            <w:tcBorders>
              <w:top w:val="single" w:sz="8" w:space="0" w:color="AEAEAE"/>
              <w:left w:val="nil"/>
              <w:bottom w:val="single" w:sz="8" w:space="0" w:color="152935"/>
              <w:right w:val="single" w:sz="8" w:space="0" w:color="E0E0E0"/>
            </w:tcBorders>
            <w:shd w:val="clear" w:color="auto" w:fill="auto"/>
            <w:vAlign w:val="center"/>
          </w:tcPr>
          <w:p w14:paraId="2E14B21D"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c>
          <w:tcPr>
            <w:tcW w:w="1470" w:type="dxa"/>
            <w:tcBorders>
              <w:top w:val="single" w:sz="8" w:space="0" w:color="AEAEAE"/>
              <w:left w:val="single" w:sz="8" w:space="0" w:color="E0E0E0"/>
              <w:bottom w:val="single" w:sz="8" w:space="0" w:color="152935"/>
              <w:right w:val="nil"/>
            </w:tcBorders>
            <w:shd w:val="clear" w:color="auto" w:fill="auto"/>
            <w:vAlign w:val="center"/>
          </w:tcPr>
          <w:p w14:paraId="6B01DB2C" w14:textId="77777777" w:rsidR="00EB5E7F" w:rsidRPr="00EB5E7F" w:rsidRDefault="00EB5E7F" w:rsidP="006D133C">
            <w:pPr>
              <w:autoSpaceDE w:val="0"/>
              <w:autoSpaceDN w:val="0"/>
              <w:adjustRightInd w:val="0"/>
              <w:spacing w:after="0" w:line="240" w:lineRule="auto"/>
              <w:ind w:left="60" w:right="60"/>
              <w:rPr>
                <w:rFonts w:ascii="Times New Roman" w:eastAsia="Calibri" w:hAnsi="Times New Roman" w:cs="Times New Roman"/>
                <w:sz w:val="24"/>
                <w:szCs w:val="24"/>
              </w:rPr>
            </w:pPr>
            <w:r w:rsidRPr="00EB5E7F">
              <w:rPr>
                <w:rFonts w:ascii="Times New Roman" w:eastAsia="Calibri" w:hAnsi="Times New Roman" w:cs="Times New Roman"/>
                <w:sz w:val="24"/>
                <w:szCs w:val="24"/>
              </w:rPr>
              <w:t>100</w:t>
            </w:r>
          </w:p>
        </w:tc>
      </w:tr>
      <w:tr w:rsidR="00EB5E7F" w:rsidRPr="00EB5E7F" w14:paraId="4FC245F9" w14:textId="77777777" w:rsidTr="00E62D63">
        <w:trPr>
          <w:cantSplit/>
        </w:trPr>
        <w:tc>
          <w:tcPr>
            <w:tcW w:w="8133" w:type="dxa"/>
            <w:gridSpan w:val="5"/>
            <w:tcBorders>
              <w:top w:val="nil"/>
              <w:left w:val="nil"/>
              <w:bottom w:val="nil"/>
              <w:right w:val="nil"/>
            </w:tcBorders>
            <w:shd w:val="clear" w:color="auto" w:fill="auto"/>
          </w:tcPr>
          <w:p w14:paraId="2136D626" w14:textId="77777777" w:rsidR="00EB5E7F" w:rsidRPr="00EB5E7F" w:rsidRDefault="00EB5E7F" w:rsidP="00EB5E7F">
            <w:pPr>
              <w:autoSpaceDE w:val="0"/>
              <w:autoSpaceDN w:val="0"/>
              <w:adjustRightInd w:val="0"/>
              <w:spacing w:after="0" w:line="320" w:lineRule="atLeast"/>
              <w:ind w:left="60" w:right="60" w:firstLine="720"/>
              <w:jc w:val="both"/>
              <w:rPr>
                <w:rFonts w:ascii="Times New Roman" w:eastAsia="Calibri" w:hAnsi="Times New Roman" w:cs="Times New Roman"/>
                <w:sz w:val="24"/>
                <w:szCs w:val="24"/>
              </w:rPr>
            </w:pPr>
            <w:r w:rsidRPr="00EB5E7F">
              <w:rPr>
                <w:rFonts w:ascii="Times New Roman" w:eastAsia="Calibri" w:hAnsi="Times New Roman" w:cs="Times New Roman"/>
                <w:sz w:val="24"/>
                <w:szCs w:val="24"/>
              </w:rPr>
              <w:t>**. La correlación es significativa en el nivel 0,01 (bilateral).</w:t>
            </w:r>
          </w:p>
        </w:tc>
      </w:tr>
    </w:tbl>
    <w:p w14:paraId="6B0336F3" w14:textId="77777777" w:rsidR="00EB5E7F" w:rsidRPr="00EB5E7F" w:rsidRDefault="00EB5E7F" w:rsidP="00EB5E7F">
      <w:pPr>
        <w:spacing w:after="0" w:line="480" w:lineRule="auto"/>
        <w:ind w:left="709" w:firstLine="720"/>
        <w:jc w:val="both"/>
        <w:rPr>
          <w:rFonts w:ascii="Times New Roman" w:eastAsia="Calibri" w:hAnsi="Times New Roman" w:cs="Times New Roman"/>
          <w:bCs/>
          <w:sz w:val="24"/>
          <w:szCs w:val="24"/>
          <w:lang w:eastAsia="es-PE"/>
        </w:rPr>
      </w:pPr>
      <w:r w:rsidRPr="00EB5E7F">
        <w:rPr>
          <w:rFonts w:ascii="Times New Roman" w:eastAsia="Calibri" w:hAnsi="Times New Roman" w:cs="Times New Roman"/>
          <w:bCs/>
          <w:sz w:val="24"/>
          <w:szCs w:val="24"/>
          <w:lang w:eastAsia="es-PE"/>
        </w:rPr>
        <w:t>Fuente: Elaboración Propia</w:t>
      </w:r>
    </w:p>
    <w:p w14:paraId="755FEBC7" w14:textId="77777777" w:rsidR="00EB5E7F" w:rsidRPr="00EB5E7F" w:rsidRDefault="00EB5E7F" w:rsidP="00EB5E7F">
      <w:pPr>
        <w:spacing w:after="0" w:line="480" w:lineRule="auto"/>
        <w:ind w:left="707" w:firstLine="221"/>
        <w:contextualSpacing/>
        <w:jc w:val="both"/>
        <w:rPr>
          <w:rFonts w:ascii="Times New Roman" w:eastAsia="Calibri" w:hAnsi="Times New Roman" w:cs="Times New Roman"/>
          <w:bCs/>
          <w:sz w:val="24"/>
          <w:szCs w:val="24"/>
        </w:rPr>
      </w:pPr>
      <w:r w:rsidRPr="00EB5E7F">
        <w:rPr>
          <w:rFonts w:ascii="Times New Roman" w:eastAsia="Calibri" w:hAnsi="Times New Roman" w:cs="Times New Roman"/>
          <w:b/>
          <w:i/>
          <w:sz w:val="24"/>
          <w:szCs w:val="24"/>
        </w:rPr>
        <w:t>Interpretación:</w:t>
      </w:r>
      <w:r w:rsidRPr="00EB5E7F">
        <w:rPr>
          <w:rFonts w:ascii="Times New Roman" w:eastAsia="Calibri" w:hAnsi="Times New Roman" w:cs="Times New Roman"/>
          <w:i/>
          <w:sz w:val="24"/>
          <w:szCs w:val="24"/>
        </w:rPr>
        <w:t xml:space="preserve"> </w:t>
      </w:r>
      <w:r w:rsidRPr="00EB5E7F">
        <w:rPr>
          <w:rFonts w:ascii="Times New Roman" w:eastAsia="Calibri" w:hAnsi="Times New Roman" w:cs="Times New Roman"/>
          <w:sz w:val="24"/>
          <w:szCs w:val="24"/>
        </w:rPr>
        <w:t xml:space="preserve">Según los resultados obtenidos para comprobar la hipótesis especifica 3 se ha obtenido que el coeficiente de correlación Rho de Spearman, que tiene el valor de 0.698** y </w:t>
      </w:r>
      <w:proofErr w:type="gramStart"/>
      <w:r w:rsidRPr="00EB5E7F">
        <w:rPr>
          <w:rFonts w:ascii="Times New Roman" w:eastAsia="Calibri" w:hAnsi="Times New Roman" w:cs="Times New Roman"/>
          <w:sz w:val="24"/>
          <w:szCs w:val="24"/>
        </w:rPr>
        <w:t>el sigma</w:t>
      </w:r>
      <w:proofErr w:type="gramEnd"/>
      <w:r w:rsidRPr="00EB5E7F">
        <w:rPr>
          <w:rFonts w:ascii="Times New Roman" w:eastAsia="Calibri" w:hAnsi="Times New Roman" w:cs="Times New Roman"/>
          <w:sz w:val="24"/>
          <w:szCs w:val="24"/>
        </w:rPr>
        <w:t xml:space="preserve"> (bilateral) es de 0,002 el mismo que es menor al parámetro teórico de 0,05 lo que nos permite afirmar que la hipótesis alterna se cumple entonces: </w:t>
      </w:r>
      <w:r w:rsidRPr="00EB5E7F">
        <w:rPr>
          <w:rFonts w:ascii="Times New Roman" w:eastAsia="Calibri" w:hAnsi="Times New Roman" w:cs="Times New Roman"/>
          <w:bCs/>
          <w:sz w:val="24"/>
          <w:szCs w:val="24"/>
        </w:rPr>
        <w:t>Las condiciones de vida y educativas en los CMA en proceso de formalización se relacionan con las políticas de desarrollo sostenible en la minería peruana.</w:t>
      </w:r>
    </w:p>
    <w:p w14:paraId="4D60D4E8" w14:textId="2856528F" w:rsidR="00EA1DB8" w:rsidRDefault="00EA1DB8" w:rsidP="007F3901">
      <w:pPr>
        <w:spacing w:after="0" w:line="480" w:lineRule="auto"/>
        <w:jc w:val="both"/>
        <w:rPr>
          <w:rFonts w:ascii="Times New Roman" w:eastAsia="Times New Roman" w:hAnsi="Times New Roman" w:cs="Times New Roman"/>
          <w:sz w:val="24"/>
          <w:szCs w:val="24"/>
        </w:rPr>
      </w:pPr>
    </w:p>
    <w:p w14:paraId="12AA02A8" w14:textId="77777777" w:rsidR="006D133C" w:rsidRPr="00B3581D" w:rsidRDefault="006D133C" w:rsidP="007F3901">
      <w:pPr>
        <w:spacing w:after="0" w:line="480" w:lineRule="auto"/>
        <w:jc w:val="both"/>
        <w:rPr>
          <w:rFonts w:ascii="Times New Roman" w:eastAsia="Times New Roman" w:hAnsi="Times New Roman" w:cs="Times New Roman"/>
          <w:sz w:val="24"/>
          <w:szCs w:val="24"/>
        </w:rPr>
      </w:pPr>
    </w:p>
    <w:p w14:paraId="5F55425A" w14:textId="5069F8AE" w:rsidR="009F3072" w:rsidRPr="007F3901" w:rsidRDefault="009F3072" w:rsidP="006D3BC4">
      <w:pPr>
        <w:spacing w:after="0" w:line="360" w:lineRule="auto"/>
        <w:jc w:val="both"/>
        <w:rPr>
          <w:rFonts w:ascii="Times New Roman" w:hAnsi="Times New Roman" w:cs="Times New Roman"/>
          <w:b/>
          <w:sz w:val="24"/>
          <w:szCs w:val="24"/>
        </w:rPr>
      </w:pPr>
      <w:r w:rsidRPr="007F3901">
        <w:rPr>
          <w:rFonts w:ascii="Times New Roman" w:hAnsi="Times New Roman" w:cs="Times New Roman"/>
          <w:b/>
          <w:sz w:val="24"/>
          <w:szCs w:val="24"/>
        </w:rPr>
        <w:t>DISCUSIÓN</w:t>
      </w:r>
    </w:p>
    <w:p w14:paraId="7BE0C641" w14:textId="77777777" w:rsidR="00EB5E7F" w:rsidRPr="00EB5E7F" w:rsidRDefault="00EB5E7F" w:rsidP="00EB5E7F">
      <w:pPr>
        <w:spacing w:after="0" w:line="480" w:lineRule="auto"/>
        <w:ind w:firstLine="720"/>
        <w:jc w:val="both"/>
        <w:rPr>
          <w:rFonts w:ascii="Times New Roman" w:eastAsia="Calibri" w:hAnsi="Times New Roman" w:cs="Times New Roman"/>
          <w:sz w:val="24"/>
          <w:szCs w:val="22"/>
        </w:rPr>
      </w:pPr>
      <w:r w:rsidRPr="00EB5E7F">
        <w:rPr>
          <w:rFonts w:ascii="Times New Roman" w:eastAsia="Calibri" w:hAnsi="Times New Roman" w:cs="Times New Roman"/>
          <w:sz w:val="24"/>
          <w:szCs w:val="22"/>
        </w:rPr>
        <w:t>Arroyo (2017), en su tema sobre turismo y desarrollo sostenible en el distrito de Santa Rosa de Quives, llegó a la conclusión general de que debe haber más apoyo de la población en su conjunto para apoyar el crecimiento económico, social y cultural. en este distrito que con el bajo ratio demuestra que no podrá obtener su desarrollo sostenible si no se supera este bajo apoyo a los factores sostenibles, siendo el principal guía quizás el gobierno local y las autoridades que deberían poner más empeño en la formación y educando sobre los buenos logros que tiene la sustentabilidad para el desarrollo local, en la presente investigación se obtuvo como resultado que los principios del desarrollo sustentable como herramienta para el CMA se relacionan con las políticas de desarrollo sustentable en la minería peruana, ya que se obtuvo un coeficiente de Spearman Correlación Rho, que tiene un valor de 0,538** y sigma (bilateral) de 0,004.</w:t>
      </w:r>
    </w:p>
    <w:p w14:paraId="792296AF" w14:textId="77777777" w:rsidR="00EB5E7F" w:rsidRPr="00EB5E7F" w:rsidRDefault="00EB5E7F" w:rsidP="00EB5E7F">
      <w:pPr>
        <w:spacing w:after="0" w:line="480" w:lineRule="auto"/>
        <w:ind w:firstLine="720"/>
        <w:jc w:val="both"/>
        <w:rPr>
          <w:rFonts w:ascii="Times New Roman" w:eastAsia="Calibri" w:hAnsi="Times New Roman" w:cs="Times New Roman"/>
          <w:sz w:val="24"/>
          <w:szCs w:val="22"/>
        </w:rPr>
      </w:pPr>
      <w:r w:rsidRPr="00EB5E7F">
        <w:rPr>
          <w:rFonts w:ascii="Times New Roman" w:eastAsia="Calibri" w:hAnsi="Times New Roman" w:cs="Times New Roman"/>
          <w:sz w:val="24"/>
          <w:szCs w:val="22"/>
        </w:rPr>
        <w:t>Aparicio (2017) argumentó que la población como eje principal del desarrollo sostenible juega un papel importante en el logro de buenos resultados para el desarrollo sostenible en materia de turismo en este distrito y que en su momento el relevamiento y análisis de las principales investigaciones demostraron que es en el ascenso de escalas positivas para su desarrollo sostenible en materia turística, en la presente investigación se obtuvo como resultado que los principios del desarrollo sostenible como herramienta para el CMA se relacionan con las políticas de desarrollo sostenible en la minería peruana, ya que una correlación se obtuvo el coeficiente Rho de Spearman, que tiene un valor de 0.538** y una sigma (bilateral) de 0.004.</w:t>
      </w:r>
    </w:p>
    <w:p w14:paraId="3EFBA725" w14:textId="77777777" w:rsidR="00EB5E7F" w:rsidRPr="00EB5E7F" w:rsidRDefault="00EB5E7F" w:rsidP="00EB5E7F">
      <w:pPr>
        <w:spacing w:after="0" w:line="480" w:lineRule="auto"/>
        <w:ind w:firstLine="720"/>
        <w:jc w:val="both"/>
        <w:rPr>
          <w:rFonts w:ascii="Times New Roman" w:eastAsia="Calibri" w:hAnsi="Times New Roman" w:cs="Times New Roman"/>
          <w:sz w:val="24"/>
          <w:szCs w:val="22"/>
        </w:rPr>
      </w:pPr>
      <w:r w:rsidRPr="00EB5E7F">
        <w:rPr>
          <w:rFonts w:ascii="Times New Roman" w:eastAsia="Calibri" w:hAnsi="Times New Roman" w:cs="Times New Roman"/>
          <w:sz w:val="24"/>
          <w:szCs w:val="22"/>
        </w:rPr>
        <w:t>Montañez (2017), en su tema relacionado con las variables sobre desarrollo sostenible como principal variable y responsabilidad social en el municipio, determinó que ambas variables tienen una relación alta y significativa de acuerdo a los resultados estadísticos obtenidos, de esta forma concluimos- estableciendo la respuesta a la hipótesis general y demostrando que el grado de responsabilidad social que tiene el municipio de Yungay sobre el desarrollo sustentable es significativo, es decir, la importancia que se establece para los sistemas económicos, sociales y ambientales impuestos por el municipio genera una responsabilidad muy social positivo y de esta manera esto lleva a que a futuro se logre un desarrollo sustentable dentro del municipio en mención, en la presente investigación se obtuvo como resultado que se relacionan los principios del desarrollo sustentable como herramienta del CMA a las políticas de desarrollo sustentable en la minería peruana, tal como se obtuvo un coeficiente de correlación Rho de Spearman, que tiene un valor de 0,538** y un sigma (bilateral) de 0,004.</w:t>
      </w:r>
    </w:p>
    <w:p w14:paraId="6B8F860A" w14:textId="5B95C528" w:rsidR="007F3901" w:rsidRDefault="00EB5E7F" w:rsidP="00EB5E7F">
      <w:pPr>
        <w:spacing w:after="0" w:line="480" w:lineRule="auto"/>
        <w:ind w:firstLine="720"/>
        <w:jc w:val="both"/>
        <w:rPr>
          <w:rFonts w:ascii="Times New Roman" w:eastAsia="Calibri" w:hAnsi="Times New Roman" w:cs="Times New Roman"/>
          <w:sz w:val="24"/>
          <w:szCs w:val="22"/>
        </w:rPr>
      </w:pPr>
      <w:r w:rsidRPr="00EB5E7F">
        <w:rPr>
          <w:rFonts w:ascii="Times New Roman" w:eastAsia="Calibri" w:hAnsi="Times New Roman" w:cs="Times New Roman"/>
          <w:sz w:val="24"/>
          <w:szCs w:val="22"/>
        </w:rPr>
        <w:t>De la Serna (2017), en su informe titulado “20 años de políticas locales para el desarrollo sostenible en España” nos dice: apoyado y en todo su contexto desarrollado e investigado por la federación española de municipios y provincias, observatorio de la sostenibilidad en España que, encabezados por el alcalde de la provincia de Santander, describen como un problema que no se trata de hacer o no políticas de desarrollo sostenible, simplemente afirman que es su responsabilidad hacerlo, el compromiso de la federación española pasa por la puesta en marcha de un agenda de sostenibilidad local amplia e inclusiva, con medidas que van desde la igualdad, la inclusión y la cohesión social hasta el desarrollo urbano y la promoción de una economía verde, el objetivo principal de este informe fue recopilar y evaluar las políticas de desarrollo sostenible en los últimos 20 años en el país de España, elaborado conjuntamente por FEMP y OSE, instituciones españolas dedicadas a la difusión de la sostenibilidad que hacen un amplio estudio del accionar municipal en materia de sustentabilidad, en la presente investigación se obtuvo como resultado que los principios del desarrollo sustentable como herramienta para el CMA se relacionan con las políticas de desarrollo sustentable en la minería peruana, ya que se obtuvo un Coeficiente de correlación Rho de Spearman, que tiene un valor de 0,538** y un sigma (bilateral) de 0,004.</w:t>
      </w:r>
    </w:p>
    <w:p w14:paraId="017C4617" w14:textId="33B659FB" w:rsidR="00390347" w:rsidRPr="007F3901" w:rsidRDefault="00390347" w:rsidP="006D3BC4">
      <w:pPr>
        <w:spacing w:after="0" w:line="360" w:lineRule="auto"/>
        <w:jc w:val="both"/>
        <w:rPr>
          <w:rFonts w:ascii="Times New Roman" w:hAnsi="Times New Roman" w:cs="Times New Roman"/>
          <w:b/>
          <w:sz w:val="24"/>
          <w:szCs w:val="24"/>
        </w:rPr>
      </w:pPr>
      <w:r w:rsidRPr="007F3901">
        <w:rPr>
          <w:rFonts w:ascii="Times New Roman" w:hAnsi="Times New Roman" w:cs="Times New Roman"/>
          <w:b/>
          <w:sz w:val="24"/>
          <w:szCs w:val="24"/>
        </w:rPr>
        <w:t>CONCLUSIONES</w:t>
      </w:r>
    </w:p>
    <w:p w14:paraId="75A6C49A" w14:textId="77777777" w:rsidR="007F3901" w:rsidRPr="007F3901" w:rsidRDefault="007F3901" w:rsidP="007F3901">
      <w:pPr>
        <w:spacing w:after="0" w:line="480" w:lineRule="auto"/>
        <w:jc w:val="both"/>
        <w:rPr>
          <w:rFonts w:ascii="Times New Roman" w:hAnsi="Times New Roman" w:cs="Times New Roman"/>
          <w:b/>
          <w:sz w:val="24"/>
          <w:szCs w:val="24"/>
        </w:rPr>
      </w:pPr>
    </w:p>
    <w:p w14:paraId="54495A2E" w14:textId="5E7BF194" w:rsidR="00EB5E7F" w:rsidRPr="00EB5E7F" w:rsidRDefault="00EB5E7F" w:rsidP="00EB5E7F">
      <w:pPr>
        <w:pStyle w:val="Prrafodelista"/>
        <w:numPr>
          <w:ilvl w:val="0"/>
          <w:numId w:val="19"/>
        </w:numPr>
        <w:spacing w:after="0" w:line="480" w:lineRule="auto"/>
        <w:jc w:val="both"/>
        <w:rPr>
          <w:rFonts w:ascii="Times New Roman" w:eastAsia="Times New Roman" w:hAnsi="Times New Roman" w:cs="Times New Roman"/>
          <w:bCs/>
          <w:sz w:val="24"/>
          <w:szCs w:val="24"/>
          <w:lang w:eastAsia="es-PE"/>
        </w:rPr>
      </w:pPr>
      <w:r w:rsidRPr="00EB5E7F">
        <w:rPr>
          <w:rFonts w:ascii="Times New Roman" w:eastAsia="Times New Roman" w:hAnsi="Times New Roman" w:cs="Times New Roman"/>
          <w:bCs/>
          <w:sz w:val="24"/>
          <w:szCs w:val="24"/>
          <w:lang w:eastAsia="es-PE"/>
        </w:rPr>
        <w:t xml:space="preserve">Los principios del desarrollo sostenible como herramienta para las CMA se relacionan con las políticas de desarrollo sostenible en la minería peruana, ya que se obtuvo un coeficiente de correlación Rho de Spearman que tiene un valor de 0.538** y </w:t>
      </w:r>
      <w:proofErr w:type="gramStart"/>
      <w:r w:rsidRPr="00EB5E7F">
        <w:rPr>
          <w:rFonts w:ascii="Times New Roman" w:eastAsia="Times New Roman" w:hAnsi="Times New Roman" w:cs="Times New Roman"/>
          <w:bCs/>
          <w:sz w:val="24"/>
          <w:szCs w:val="24"/>
          <w:lang w:eastAsia="es-PE"/>
        </w:rPr>
        <w:t>el sigma</w:t>
      </w:r>
      <w:proofErr w:type="gramEnd"/>
      <w:r w:rsidRPr="00EB5E7F">
        <w:rPr>
          <w:rFonts w:ascii="Times New Roman" w:eastAsia="Times New Roman" w:hAnsi="Times New Roman" w:cs="Times New Roman"/>
          <w:bCs/>
          <w:sz w:val="24"/>
          <w:szCs w:val="24"/>
          <w:lang w:eastAsia="es-PE"/>
        </w:rPr>
        <w:t xml:space="preserve"> (bilateral) de 0.004.</w:t>
      </w:r>
    </w:p>
    <w:p w14:paraId="1D157174" w14:textId="123B09DC" w:rsidR="00EB5E7F" w:rsidRPr="00EB5E7F" w:rsidRDefault="00EB5E7F" w:rsidP="00EB5E7F">
      <w:pPr>
        <w:pStyle w:val="Prrafodelista"/>
        <w:numPr>
          <w:ilvl w:val="0"/>
          <w:numId w:val="19"/>
        </w:numPr>
        <w:spacing w:after="0" w:line="480" w:lineRule="auto"/>
        <w:jc w:val="both"/>
        <w:rPr>
          <w:rFonts w:ascii="Times New Roman" w:eastAsia="Times New Roman" w:hAnsi="Times New Roman" w:cs="Times New Roman"/>
          <w:bCs/>
          <w:sz w:val="24"/>
          <w:szCs w:val="24"/>
          <w:lang w:eastAsia="es-PE"/>
        </w:rPr>
      </w:pPr>
      <w:r w:rsidRPr="00EB5E7F">
        <w:rPr>
          <w:rFonts w:ascii="Times New Roman" w:eastAsia="Times New Roman" w:hAnsi="Times New Roman" w:cs="Times New Roman"/>
          <w:bCs/>
          <w:sz w:val="24"/>
          <w:szCs w:val="24"/>
          <w:lang w:eastAsia="es-PE"/>
        </w:rPr>
        <w:t xml:space="preserve">La normativa vigente relacionada con la minería peruana tiene relación con las políticas de desarrollo sostenible en la minería peruana, ya que se obtuvo un coeficiente de correlación Rho de Spearman, el cual tiene un valor de 0.438** y </w:t>
      </w:r>
      <w:proofErr w:type="gramStart"/>
      <w:r w:rsidRPr="00EB5E7F">
        <w:rPr>
          <w:rFonts w:ascii="Times New Roman" w:eastAsia="Times New Roman" w:hAnsi="Times New Roman" w:cs="Times New Roman"/>
          <w:bCs/>
          <w:sz w:val="24"/>
          <w:szCs w:val="24"/>
          <w:lang w:eastAsia="es-PE"/>
        </w:rPr>
        <w:t>un sigma</w:t>
      </w:r>
      <w:proofErr w:type="gramEnd"/>
      <w:r w:rsidRPr="00EB5E7F">
        <w:rPr>
          <w:rFonts w:ascii="Times New Roman" w:eastAsia="Times New Roman" w:hAnsi="Times New Roman" w:cs="Times New Roman"/>
          <w:bCs/>
          <w:sz w:val="24"/>
          <w:szCs w:val="24"/>
          <w:lang w:eastAsia="es-PE"/>
        </w:rPr>
        <w:t xml:space="preserve"> (bilateral) de 0.001.</w:t>
      </w:r>
    </w:p>
    <w:p w14:paraId="5AAE2157" w14:textId="28993F40" w:rsidR="00EB5E7F" w:rsidRPr="00EB5E7F" w:rsidRDefault="00EB5E7F" w:rsidP="00EB5E7F">
      <w:pPr>
        <w:pStyle w:val="Prrafodelista"/>
        <w:numPr>
          <w:ilvl w:val="0"/>
          <w:numId w:val="19"/>
        </w:numPr>
        <w:spacing w:after="0" w:line="480" w:lineRule="auto"/>
        <w:jc w:val="both"/>
        <w:rPr>
          <w:rFonts w:ascii="Times New Roman" w:eastAsia="Times New Roman" w:hAnsi="Times New Roman" w:cs="Times New Roman"/>
          <w:bCs/>
          <w:sz w:val="24"/>
          <w:szCs w:val="24"/>
          <w:lang w:eastAsia="es-PE"/>
        </w:rPr>
      </w:pPr>
      <w:r w:rsidRPr="00EB5E7F">
        <w:rPr>
          <w:rFonts w:ascii="Times New Roman" w:eastAsia="Times New Roman" w:hAnsi="Times New Roman" w:cs="Times New Roman"/>
          <w:bCs/>
          <w:sz w:val="24"/>
          <w:szCs w:val="24"/>
          <w:lang w:eastAsia="es-PE"/>
        </w:rPr>
        <w:t xml:space="preserve">Las Unidades Mineras en Producción clasificadas por Estratos Mineros están relacionadas con las políticas de desarrollo sostenible en la minería peruana, pues se obtuvo un coeficiente de correlación Rho de Spearman, el cual tiene un valor de 0.284** y </w:t>
      </w:r>
      <w:proofErr w:type="gramStart"/>
      <w:r w:rsidRPr="00EB5E7F">
        <w:rPr>
          <w:rFonts w:ascii="Times New Roman" w:eastAsia="Times New Roman" w:hAnsi="Times New Roman" w:cs="Times New Roman"/>
          <w:bCs/>
          <w:sz w:val="24"/>
          <w:szCs w:val="24"/>
          <w:lang w:eastAsia="es-PE"/>
        </w:rPr>
        <w:t>un sigma</w:t>
      </w:r>
      <w:proofErr w:type="gramEnd"/>
      <w:r w:rsidRPr="00EB5E7F">
        <w:rPr>
          <w:rFonts w:ascii="Times New Roman" w:eastAsia="Times New Roman" w:hAnsi="Times New Roman" w:cs="Times New Roman"/>
          <w:bCs/>
          <w:sz w:val="24"/>
          <w:szCs w:val="24"/>
          <w:lang w:eastAsia="es-PE"/>
        </w:rPr>
        <w:t xml:space="preserve"> (bilateral) de 0.014.</w:t>
      </w:r>
    </w:p>
    <w:p w14:paraId="6541FB44" w14:textId="2208D59D" w:rsidR="00EB5E7F" w:rsidRPr="00EB5E7F" w:rsidRDefault="00EB5E7F" w:rsidP="00EB5E7F">
      <w:pPr>
        <w:pStyle w:val="Prrafodelista"/>
        <w:numPr>
          <w:ilvl w:val="0"/>
          <w:numId w:val="19"/>
        </w:numPr>
        <w:spacing w:after="0" w:line="480" w:lineRule="auto"/>
        <w:jc w:val="both"/>
        <w:rPr>
          <w:rFonts w:ascii="Times New Roman" w:eastAsia="Times New Roman" w:hAnsi="Times New Roman" w:cs="Times New Roman"/>
          <w:bCs/>
          <w:sz w:val="24"/>
          <w:szCs w:val="24"/>
          <w:lang w:eastAsia="es-PE"/>
        </w:rPr>
      </w:pPr>
      <w:r w:rsidRPr="00EB5E7F">
        <w:rPr>
          <w:rFonts w:ascii="Times New Roman" w:eastAsia="Times New Roman" w:hAnsi="Times New Roman" w:cs="Times New Roman"/>
          <w:bCs/>
          <w:sz w:val="24"/>
          <w:szCs w:val="24"/>
          <w:lang w:eastAsia="es-PE"/>
        </w:rPr>
        <w:t>Los impactos económicos, ambientales y sociales de la minería peruana están relacionados</w:t>
      </w:r>
      <w:r w:rsidRPr="00EB5E7F">
        <w:rPr>
          <w:rFonts w:ascii="Times New Roman" w:eastAsia="Times New Roman" w:hAnsi="Times New Roman" w:cs="Times New Roman"/>
          <w:bCs/>
          <w:sz w:val="24"/>
          <w:szCs w:val="24"/>
          <w:lang w:eastAsia="es-PE"/>
        </w:rPr>
        <w:t xml:space="preserve"> </w:t>
      </w:r>
      <w:r w:rsidRPr="00EB5E7F">
        <w:rPr>
          <w:rFonts w:ascii="Times New Roman" w:eastAsia="Times New Roman" w:hAnsi="Times New Roman" w:cs="Times New Roman"/>
          <w:bCs/>
          <w:sz w:val="24"/>
          <w:szCs w:val="24"/>
          <w:lang w:eastAsia="es-PE"/>
        </w:rPr>
        <w:t xml:space="preserve">con las políticas de desarrollo sostenible en la minería peruana, ya que se obtuvo un coeficiente de correlación Rho de Spearman que tiene un valor de 0.661** y </w:t>
      </w:r>
      <w:proofErr w:type="gramStart"/>
      <w:r>
        <w:rPr>
          <w:rFonts w:ascii="Times New Roman" w:eastAsia="Times New Roman" w:hAnsi="Times New Roman" w:cs="Times New Roman"/>
          <w:bCs/>
          <w:sz w:val="24"/>
          <w:szCs w:val="24"/>
          <w:lang w:eastAsia="es-PE"/>
        </w:rPr>
        <w:t>el</w:t>
      </w:r>
      <w:r w:rsidRPr="00EB5E7F">
        <w:rPr>
          <w:rFonts w:ascii="Times New Roman" w:eastAsia="Times New Roman" w:hAnsi="Times New Roman" w:cs="Times New Roman"/>
          <w:bCs/>
          <w:sz w:val="24"/>
          <w:szCs w:val="24"/>
          <w:lang w:eastAsia="es-PE"/>
        </w:rPr>
        <w:t xml:space="preserve"> sigma</w:t>
      </w:r>
      <w:proofErr w:type="gramEnd"/>
      <w:r w:rsidRPr="00EB5E7F">
        <w:rPr>
          <w:rFonts w:ascii="Times New Roman" w:eastAsia="Times New Roman" w:hAnsi="Times New Roman" w:cs="Times New Roman"/>
          <w:bCs/>
          <w:sz w:val="24"/>
          <w:szCs w:val="24"/>
          <w:lang w:eastAsia="es-PE"/>
        </w:rPr>
        <w:t xml:space="preserve"> (bilateral) de 0.000.</w:t>
      </w:r>
    </w:p>
    <w:p w14:paraId="2F5158CA" w14:textId="5733D88E" w:rsidR="00EB5E7F" w:rsidRPr="00EB5E7F" w:rsidRDefault="00EB5E7F" w:rsidP="00EB5E7F">
      <w:pPr>
        <w:pStyle w:val="Prrafodelista"/>
        <w:numPr>
          <w:ilvl w:val="0"/>
          <w:numId w:val="20"/>
        </w:numPr>
        <w:spacing w:after="0" w:line="480" w:lineRule="auto"/>
        <w:jc w:val="both"/>
        <w:rPr>
          <w:rFonts w:ascii="Times New Roman" w:eastAsia="Times New Roman" w:hAnsi="Times New Roman" w:cs="Times New Roman"/>
          <w:bCs/>
          <w:sz w:val="24"/>
          <w:szCs w:val="24"/>
          <w:lang w:eastAsia="es-PE"/>
        </w:rPr>
      </w:pPr>
      <w:r w:rsidRPr="00EB5E7F">
        <w:rPr>
          <w:rFonts w:ascii="Times New Roman" w:eastAsia="Times New Roman" w:hAnsi="Times New Roman" w:cs="Times New Roman"/>
          <w:bCs/>
          <w:sz w:val="24"/>
          <w:szCs w:val="24"/>
          <w:lang w:eastAsia="es-PE"/>
        </w:rPr>
        <w:t xml:space="preserve">Los Centros de Minería Artesanal (CMA) en proceso de formalización minera no tienen relación con las políticas de desarrollo sostenible en la minería peruana, ya que se obtuvo un coeficiente de correlación Rho de Spearman que tiene un valor de 0.732** y </w:t>
      </w:r>
      <w:proofErr w:type="gramStart"/>
      <w:r w:rsidRPr="00EB5E7F">
        <w:rPr>
          <w:rFonts w:ascii="Times New Roman" w:eastAsia="Times New Roman" w:hAnsi="Times New Roman" w:cs="Times New Roman"/>
          <w:bCs/>
          <w:sz w:val="24"/>
          <w:szCs w:val="24"/>
          <w:lang w:eastAsia="es-PE"/>
        </w:rPr>
        <w:t>el sigma</w:t>
      </w:r>
      <w:proofErr w:type="gramEnd"/>
      <w:r w:rsidRPr="00EB5E7F">
        <w:rPr>
          <w:rFonts w:ascii="Times New Roman" w:eastAsia="Times New Roman" w:hAnsi="Times New Roman" w:cs="Times New Roman"/>
          <w:bCs/>
          <w:sz w:val="24"/>
          <w:szCs w:val="24"/>
          <w:lang w:eastAsia="es-PE"/>
        </w:rPr>
        <w:t xml:space="preserve"> (bilateral) de 0.000.</w:t>
      </w:r>
    </w:p>
    <w:p w14:paraId="2978893C" w14:textId="00F343D1" w:rsidR="00991628" w:rsidRPr="00EB5E7F" w:rsidRDefault="00EB5E7F" w:rsidP="00EB5E7F">
      <w:pPr>
        <w:pStyle w:val="Prrafodelista"/>
        <w:numPr>
          <w:ilvl w:val="0"/>
          <w:numId w:val="20"/>
        </w:numPr>
        <w:spacing w:after="0" w:line="360" w:lineRule="auto"/>
        <w:ind w:right="-285"/>
        <w:jc w:val="both"/>
        <w:rPr>
          <w:rFonts w:ascii="Times New Roman" w:hAnsi="Times New Roman" w:cs="Times New Roman"/>
          <w:sz w:val="24"/>
          <w:szCs w:val="24"/>
        </w:rPr>
      </w:pPr>
      <w:r w:rsidRPr="00EB5E7F">
        <w:rPr>
          <w:rFonts w:ascii="Times New Roman" w:eastAsia="Times New Roman" w:hAnsi="Times New Roman" w:cs="Times New Roman"/>
          <w:bCs/>
          <w:sz w:val="24"/>
          <w:szCs w:val="24"/>
          <w:lang w:eastAsia="es-PE"/>
        </w:rPr>
        <w:t xml:space="preserve">Las condiciones de vida y educación en las CMA en proceso de formalización tienen relación con las políticas de desarrollo sostenible en la minería peruana, pues se obtuvo el coeficiente de correlación Spearman Rho que tiene un valor de 0.698** y </w:t>
      </w:r>
      <w:proofErr w:type="gramStart"/>
      <w:r w:rsidRPr="00EB5E7F">
        <w:rPr>
          <w:rFonts w:ascii="Times New Roman" w:eastAsia="Times New Roman" w:hAnsi="Times New Roman" w:cs="Times New Roman"/>
          <w:bCs/>
          <w:sz w:val="24"/>
          <w:szCs w:val="24"/>
          <w:lang w:eastAsia="es-PE"/>
        </w:rPr>
        <w:t>el sigma</w:t>
      </w:r>
      <w:proofErr w:type="gramEnd"/>
      <w:r w:rsidRPr="00EB5E7F">
        <w:rPr>
          <w:rFonts w:ascii="Times New Roman" w:eastAsia="Times New Roman" w:hAnsi="Times New Roman" w:cs="Times New Roman"/>
          <w:bCs/>
          <w:sz w:val="24"/>
          <w:szCs w:val="24"/>
          <w:lang w:eastAsia="es-PE"/>
        </w:rPr>
        <w:t xml:space="preserve"> (bilateral) de 0.002</w:t>
      </w:r>
    </w:p>
    <w:p w14:paraId="3F37823F" w14:textId="4F8C8DCB" w:rsidR="007F3901" w:rsidRPr="007F3901" w:rsidRDefault="007F3901" w:rsidP="00D74E7A">
      <w:pPr>
        <w:spacing w:after="0" w:line="360" w:lineRule="auto"/>
        <w:ind w:right="-285"/>
        <w:jc w:val="both"/>
        <w:rPr>
          <w:rFonts w:ascii="Times New Roman" w:hAnsi="Times New Roman" w:cs="Times New Roman"/>
          <w:sz w:val="24"/>
          <w:szCs w:val="24"/>
        </w:rPr>
      </w:pPr>
    </w:p>
    <w:p w14:paraId="5E287598" w14:textId="513421AF" w:rsidR="007F3901" w:rsidRPr="007F3901" w:rsidRDefault="007F3901" w:rsidP="00D74E7A">
      <w:pPr>
        <w:spacing w:after="0" w:line="360" w:lineRule="auto"/>
        <w:ind w:right="-285"/>
        <w:jc w:val="both"/>
        <w:rPr>
          <w:rFonts w:ascii="Times New Roman" w:hAnsi="Times New Roman" w:cs="Times New Roman"/>
          <w:sz w:val="24"/>
          <w:szCs w:val="24"/>
        </w:rPr>
      </w:pPr>
    </w:p>
    <w:p w14:paraId="220D2735" w14:textId="2DE3FF48" w:rsidR="009F3072" w:rsidRPr="007F3901" w:rsidRDefault="009F3072" w:rsidP="006D3BC4">
      <w:pPr>
        <w:spacing w:after="0" w:line="360" w:lineRule="auto"/>
        <w:jc w:val="both"/>
        <w:rPr>
          <w:rFonts w:ascii="Times New Roman" w:hAnsi="Times New Roman" w:cs="Times New Roman"/>
          <w:b/>
          <w:sz w:val="24"/>
          <w:szCs w:val="24"/>
        </w:rPr>
      </w:pPr>
      <w:r w:rsidRPr="007F3901">
        <w:rPr>
          <w:rFonts w:ascii="Times New Roman" w:hAnsi="Times New Roman" w:cs="Times New Roman"/>
          <w:b/>
          <w:sz w:val="24"/>
          <w:szCs w:val="24"/>
        </w:rPr>
        <w:t xml:space="preserve">REFERENCIAS </w:t>
      </w:r>
    </w:p>
    <w:p w14:paraId="12AFCF79" w14:textId="19D051A5" w:rsidR="00D31C45" w:rsidRPr="007F3901" w:rsidRDefault="00D31C45" w:rsidP="006D3BC4">
      <w:pPr>
        <w:pStyle w:val="Prrafodelista"/>
        <w:tabs>
          <w:tab w:val="left" w:pos="426"/>
        </w:tabs>
        <w:spacing w:after="0" w:line="360" w:lineRule="auto"/>
        <w:ind w:left="218"/>
        <w:jc w:val="both"/>
        <w:rPr>
          <w:rFonts w:ascii="Times New Roman" w:hAnsi="Times New Roman" w:cs="Times New Roman"/>
          <w:sz w:val="24"/>
          <w:szCs w:val="24"/>
        </w:rPr>
      </w:pPr>
    </w:p>
    <w:p w14:paraId="53AD2715"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Aparicio N. (2017). Análisis del desarrollo sostenible del turismo en el distrito de Miraflores en el año 2017, universidad césar vallejo, lima-Perú </w:t>
      </w:r>
      <w:r w:rsidRPr="00C60B51">
        <w:rPr>
          <w:rFonts w:ascii="Times New Roman" w:eastAsia="Calibri" w:hAnsi="Times New Roman" w:cs="Times New Roman"/>
          <w:iCs/>
          <w:sz w:val="24"/>
          <w:szCs w:val="24"/>
        </w:rPr>
        <w:tab/>
      </w:r>
    </w:p>
    <w:p w14:paraId="34C13748" w14:textId="41D1C9C5" w:rsidR="00C60B51" w:rsidRPr="00C60B51" w:rsidRDefault="00C60B51" w:rsidP="00C60B51">
      <w:pPr>
        <w:spacing w:after="0" w:line="480" w:lineRule="auto"/>
        <w:ind w:left="709" w:hanging="1"/>
        <w:jc w:val="both"/>
        <w:rPr>
          <w:rFonts w:ascii="Times New Roman" w:eastAsia="Calibri" w:hAnsi="Times New Roman" w:cs="Times New Roman"/>
          <w:iCs/>
          <w:sz w:val="24"/>
          <w:szCs w:val="24"/>
        </w:rPr>
      </w:pPr>
      <w:hyperlink r:id="rId8" w:history="1">
        <w:r w:rsidRPr="00C60B51">
          <w:rPr>
            <w:rStyle w:val="Hipervnculo"/>
            <w:rFonts w:ascii="Times New Roman" w:eastAsia="Calibri" w:hAnsi="Times New Roman" w:cs="Times New Roman"/>
            <w:iCs/>
            <w:sz w:val="24"/>
            <w:szCs w:val="24"/>
          </w:rPr>
          <w:t>https://repositorio.ucv.edu.pe/bitstream/handle/20.500.12692/6921/Aparicio-ON.pdf?sequence=1&amp;isAllowed=y</w:t>
        </w:r>
      </w:hyperlink>
    </w:p>
    <w:p w14:paraId="73729926"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Arroyo C. (2017) turismo y desarrollo sostenible en el distrito de santa rosa de Quives, universidad César Vallejo, Lima-Perú, tesis recuperada de: </w:t>
      </w:r>
    </w:p>
    <w:p w14:paraId="0E6A3866" w14:textId="5ABF3840" w:rsidR="00C60B51" w:rsidRPr="00C60B51" w:rsidRDefault="00C60B51" w:rsidP="00C60B51">
      <w:pPr>
        <w:spacing w:after="0" w:line="480" w:lineRule="auto"/>
        <w:ind w:left="709"/>
        <w:jc w:val="both"/>
        <w:rPr>
          <w:rFonts w:ascii="Times New Roman" w:eastAsia="Calibri" w:hAnsi="Times New Roman" w:cs="Times New Roman"/>
          <w:iCs/>
          <w:sz w:val="24"/>
          <w:szCs w:val="24"/>
        </w:rPr>
      </w:pPr>
      <w:hyperlink r:id="rId9" w:history="1">
        <w:r w:rsidRPr="00C60B51">
          <w:rPr>
            <w:rStyle w:val="Hipervnculo"/>
            <w:rFonts w:ascii="Times New Roman" w:eastAsia="Calibri" w:hAnsi="Times New Roman" w:cs="Times New Roman"/>
            <w:iCs/>
            <w:sz w:val="24"/>
            <w:szCs w:val="24"/>
          </w:rPr>
          <w:t>https://repositorio.ucv.edu.pe/browse?type=subject&amp;value=Turismo%20-%20Desarrollo%20%E2%80%93%20Sostenible%20%E2%80%93%20Quives</w:t>
        </w:r>
      </w:hyperlink>
    </w:p>
    <w:p w14:paraId="1C02629F"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Bazán M. (2013), La regionalización en el Perú: un análisis de la reforma del Gobierno Regional de Junín 2008-2009 desde un enfoque de desarrollo sostenible, Pontifica universidad católica del Perú, lima tesis recuperado de </w:t>
      </w:r>
      <w:hyperlink r:id="rId10" w:history="1">
        <w:r w:rsidRPr="00C60B51">
          <w:rPr>
            <w:rFonts w:ascii="Times New Roman" w:eastAsia="Calibri" w:hAnsi="Times New Roman" w:cs="Times New Roman"/>
            <w:iCs/>
            <w:color w:val="0563C1"/>
            <w:sz w:val="24"/>
            <w:szCs w:val="24"/>
            <w:u w:val="single"/>
          </w:rPr>
          <w:t>https://tesis.pucp.edu.pe/repositorio/handle/20.500.12404/5192</w:t>
        </w:r>
      </w:hyperlink>
    </w:p>
    <w:p w14:paraId="228E1EC4"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Cardona G. (2015), Diseño de una estrategia de desarrollo sostenible para el municipio de Aquismón, San Luis Potosí 2015-2025, </w:t>
      </w:r>
      <w:proofErr w:type="gramStart"/>
      <w:r w:rsidRPr="00C60B51">
        <w:rPr>
          <w:rFonts w:ascii="Times New Roman" w:eastAsia="Calibri" w:hAnsi="Times New Roman" w:cs="Times New Roman"/>
          <w:iCs/>
          <w:sz w:val="24"/>
          <w:szCs w:val="24"/>
        </w:rPr>
        <w:t>tesis recuperado</w:t>
      </w:r>
      <w:proofErr w:type="gramEnd"/>
      <w:r w:rsidRPr="00C60B51">
        <w:rPr>
          <w:rFonts w:ascii="Times New Roman" w:eastAsia="Calibri" w:hAnsi="Times New Roman" w:cs="Times New Roman"/>
          <w:iCs/>
          <w:sz w:val="24"/>
          <w:szCs w:val="24"/>
        </w:rPr>
        <w:t xml:space="preserve"> de </w:t>
      </w:r>
      <w:hyperlink r:id="rId11" w:history="1">
        <w:r w:rsidRPr="00C60B51">
          <w:rPr>
            <w:rFonts w:ascii="Times New Roman" w:eastAsia="Calibri" w:hAnsi="Times New Roman" w:cs="Times New Roman"/>
            <w:iCs/>
            <w:color w:val="0563C1"/>
            <w:sz w:val="24"/>
            <w:szCs w:val="24"/>
            <w:u w:val="single"/>
          </w:rPr>
          <w:t>https://tesis.ipn.mx/bitstream/handle/123456789/13675/TESIS%20FINAL_1.pdf</w:t>
        </w:r>
      </w:hyperlink>
    </w:p>
    <w:p w14:paraId="413F171A"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De la serna I. (2017), 20 años de políticas locales de desarrollo sostenible en España Informe</w:t>
      </w:r>
      <w:r w:rsidRPr="00C60B51">
        <w:rPr>
          <w:rFonts w:ascii="Times New Roman" w:eastAsia="Calibri" w:hAnsi="Times New Roman" w:cs="Times New Roman"/>
          <w:iCs/>
          <w:sz w:val="24"/>
          <w:szCs w:val="24"/>
        </w:rPr>
        <w:tab/>
        <w:t>recuperado</w:t>
      </w:r>
      <w:r w:rsidRPr="00C60B51">
        <w:rPr>
          <w:rFonts w:ascii="Times New Roman" w:eastAsia="Calibri" w:hAnsi="Times New Roman" w:cs="Times New Roman"/>
          <w:iCs/>
          <w:sz w:val="24"/>
          <w:szCs w:val="24"/>
        </w:rPr>
        <w:tab/>
        <w:t xml:space="preserve">de: </w:t>
      </w:r>
      <w:hyperlink r:id="rId12" w:history="1">
        <w:r w:rsidRPr="00C60B51">
          <w:rPr>
            <w:rFonts w:ascii="Times New Roman" w:eastAsia="Calibri" w:hAnsi="Times New Roman" w:cs="Times New Roman"/>
            <w:iCs/>
            <w:color w:val="0563C1"/>
            <w:sz w:val="24"/>
            <w:szCs w:val="24"/>
            <w:u w:val="single"/>
          </w:rPr>
          <w:t>http://www.upv.es/contenidos/CAMUNISO/info/U0669358.pdf</w:t>
        </w:r>
      </w:hyperlink>
    </w:p>
    <w:p w14:paraId="1A439CB3"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Neves D. (2014). modelo de desarrollo local sostenible: el caso del municipio de sao Joao Del Rei (Brasil), Universidad politécnica de Catalunya, España. Recuperado de: </w:t>
      </w:r>
      <w:hyperlink r:id="rId13" w:history="1">
        <w:r w:rsidRPr="00C60B51">
          <w:rPr>
            <w:rFonts w:ascii="Times New Roman" w:eastAsia="Calibri" w:hAnsi="Times New Roman" w:cs="Times New Roman"/>
            <w:iCs/>
            <w:color w:val="0563C1"/>
            <w:sz w:val="24"/>
            <w:szCs w:val="24"/>
            <w:u w:val="single"/>
          </w:rPr>
          <w:t>http://hdl.handle.net/2117/95333</w:t>
        </w:r>
      </w:hyperlink>
    </w:p>
    <w:p w14:paraId="2EDF4550"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Organismo de las naciones unidas (2012) desarrollo sostenible, extraído de revista naciones unidas son su mundo </w:t>
      </w:r>
      <w:hyperlink r:id="rId14" w:history="1">
        <w:r w:rsidRPr="00C60B51">
          <w:rPr>
            <w:rFonts w:ascii="Times New Roman" w:eastAsia="Calibri" w:hAnsi="Times New Roman" w:cs="Times New Roman"/>
            <w:iCs/>
            <w:color w:val="0563C1"/>
            <w:sz w:val="24"/>
            <w:szCs w:val="24"/>
            <w:u w:val="single"/>
          </w:rPr>
          <w:t>https://www.un.org/es/ga/president/65/issues/sustdev.shtml</w:t>
        </w:r>
      </w:hyperlink>
    </w:p>
    <w:p w14:paraId="4672D013"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 xml:space="preserve">Picón L. (2011) Aplicando el enfoque ambiental hacia una educación para el desarrollo sostenible, extraído del </w:t>
      </w:r>
      <w:proofErr w:type="spellStart"/>
      <w:r w:rsidRPr="00C60B51">
        <w:rPr>
          <w:rFonts w:ascii="Times New Roman" w:eastAsia="Calibri" w:hAnsi="Times New Roman" w:cs="Times New Roman"/>
          <w:iCs/>
          <w:sz w:val="24"/>
          <w:szCs w:val="24"/>
        </w:rPr>
        <w:t>Ier</w:t>
      </w:r>
      <w:proofErr w:type="spellEnd"/>
      <w:r w:rsidRPr="00C60B51">
        <w:rPr>
          <w:rFonts w:ascii="Times New Roman" w:eastAsia="Calibri" w:hAnsi="Times New Roman" w:cs="Times New Roman"/>
          <w:iCs/>
          <w:sz w:val="24"/>
          <w:szCs w:val="24"/>
        </w:rPr>
        <w:t xml:space="preserve"> Congreso Regional de Educación Ambiental Huánuco, recuperado de: </w:t>
      </w:r>
      <w:hyperlink r:id="rId15" w:history="1">
        <w:r w:rsidRPr="00C60B51">
          <w:rPr>
            <w:rFonts w:ascii="Times New Roman" w:eastAsia="Calibri" w:hAnsi="Times New Roman" w:cs="Times New Roman"/>
            <w:iCs/>
            <w:color w:val="0563C1"/>
            <w:sz w:val="24"/>
            <w:szCs w:val="24"/>
            <w:u w:val="single"/>
          </w:rPr>
          <w:t>https://bibliotecauvirtual.files.wordpress.com/2019/06/libro_educ_amb_peru.pdf</w:t>
        </w:r>
      </w:hyperlink>
    </w:p>
    <w:p w14:paraId="3DA543B7" w14:textId="77777777" w:rsidR="00C60B51" w:rsidRPr="00C60B51" w:rsidRDefault="00C60B51" w:rsidP="00C60B51">
      <w:pPr>
        <w:spacing w:after="0" w:line="480" w:lineRule="auto"/>
        <w:ind w:left="709" w:hanging="709"/>
        <w:jc w:val="both"/>
        <w:rPr>
          <w:rFonts w:ascii="Times New Roman" w:eastAsia="Calibri" w:hAnsi="Times New Roman" w:cs="Times New Roman"/>
          <w:iCs/>
          <w:sz w:val="24"/>
          <w:szCs w:val="24"/>
        </w:rPr>
      </w:pPr>
      <w:r w:rsidRPr="00C60B51">
        <w:rPr>
          <w:rFonts w:ascii="Times New Roman" w:eastAsia="Calibri" w:hAnsi="Times New Roman" w:cs="Times New Roman"/>
          <w:iCs/>
          <w:sz w:val="24"/>
          <w:szCs w:val="24"/>
        </w:rPr>
        <w:t>Unchupaico, A. (2011) Modelo de gestión sostenible de los residuos sólidos urbanos para el Distrito de El Tambo, Huancayo, 2011. [Tesis de maestría, Universidad Nacional del centro del Perú]. Repositorio Institucional UNCP.</w:t>
      </w:r>
    </w:p>
    <w:p w14:paraId="0823A305" w14:textId="78A31FD9" w:rsidR="00C60B51" w:rsidRPr="00C60B51" w:rsidRDefault="00C60B51" w:rsidP="00C60B51">
      <w:pPr>
        <w:spacing w:after="0" w:line="480" w:lineRule="auto"/>
        <w:ind w:left="709" w:hanging="1"/>
        <w:jc w:val="both"/>
        <w:rPr>
          <w:rFonts w:ascii="Times New Roman" w:eastAsia="Calibri" w:hAnsi="Times New Roman" w:cs="Times New Roman"/>
          <w:iCs/>
          <w:sz w:val="24"/>
          <w:szCs w:val="24"/>
        </w:rPr>
      </w:pPr>
      <w:hyperlink r:id="rId16" w:history="1">
        <w:r w:rsidRPr="00C60B51">
          <w:rPr>
            <w:rStyle w:val="Hipervnculo"/>
            <w:rFonts w:ascii="Times New Roman" w:eastAsia="Calibri" w:hAnsi="Times New Roman" w:cs="Times New Roman"/>
            <w:iCs/>
            <w:sz w:val="24"/>
            <w:szCs w:val="24"/>
          </w:rPr>
          <w:t>https://repositorio.uncp.edu.pe/</w:t>
        </w:r>
        <w:r w:rsidRPr="00C60B51">
          <w:rPr>
            <w:rStyle w:val="Hipervnculo"/>
            <w:rFonts w:ascii="Times New Roman" w:eastAsia="Calibri" w:hAnsi="Times New Roman" w:cs="Times New Roman"/>
            <w:iCs/>
            <w:sz w:val="24"/>
            <w:szCs w:val="24"/>
          </w:rPr>
          <w:t>b</w:t>
        </w:r>
        <w:r w:rsidRPr="00C60B51">
          <w:rPr>
            <w:rStyle w:val="Hipervnculo"/>
            <w:rFonts w:ascii="Times New Roman" w:eastAsia="Calibri" w:hAnsi="Times New Roman" w:cs="Times New Roman"/>
            <w:iCs/>
            <w:sz w:val="24"/>
            <w:szCs w:val="24"/>
          </w:rPr>
          <w:t>itstream/handle/20.500.12894/1328/Tesis-Angel-Unchupaico.pdf?sequence=1&amp;isAllowed=y</w:t>
        </w:r>
      </w:hyperlink>
    </w:p>
    <w:p w14:paraId="36CE7D09" w14:textId="4E6F9762" w:rsidR="00B3581D" w:rsidRPr="00C60B51" w:rsidRDefault="00B3581D" w:rsidP="00B3581D">
      <w:pPr>
        <w:tabs>
          <w:tab w:val="left" w:pos="1170"/>
        </w:tabs>
        <w:rPr>
          <w:rFonts w:ascii="Times New Roman" w:eastAsia="Calibri" w:hAnsi="Times New Roman" w:cs="Times New Roman"/>
          <w:sz w:val="24"/>
          <w:szCs w:val="24"/>
        </w:rPr>
      </w:pPr>
    </w:p>
    <w:sectPr w:rsidR="00B3581D" w:rsidRPr="00C60B51" w:rsidSect="009F3072">
      <w:footerReference w:type="default" r:id="rId17"/>
      <w:type w:val="continuous"/>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2C9E" w14:textId="77777777" w:rsidR="00C63422" w:rsidRDefault="00C63422" w:rsidP="001275D8">
      <w:pPr>
        <w:spacing w:after="0" w:line="240" w:lineRule="auto"/>
      </w:pPr>
      <w:r>
        <w:separator/>
      </w:r>
    </w:p>
  </w:endnote>
  <w:endnote w:type="continuationSeparator" w:id="0">
    <w:p w14:paraId="18D5466D" w14:textId="77777777" w:rsidR="00C63422" w:rsidRDefault="00C63422" w:rsidP="001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30938"/>
      <w:docPartObj>
        <w:docPartGallery w:val="Page Numbers (Bottom of Page)"/>
        <w:docPartUnique/>
      </w:docPartObj>
    </w:sdtPr>
    <w:sdtEndPr/>
    <w:sdtContent>
      <w:p w14:paraId="022F540B" w14:textId="77777777" w:rsidR="00BD1812" w:rsidRDefault="00BD1812">
        <w:pPr>
          <w:pStyle w:val="Piedepgina"/>
          <w:jc w:val="center"/>
        </w:pPr>
        <w:r>
          <w:fldChar w:fldCharType="begin"/>
        </w:r>
        <w:r>
          <w:instrText>PAGE   \* MERGEFORMAT</w:instrText>
        </w:r>
        <w:r>
          <w:fldChar w:fldCharType="separate"/>
        </w:r>
        <w:r w:rsidR="002F2D9F" w:rsidRPr="002F2D9F">
          <w:rPr>
            <w:noProof/>
            <w:lang w:val="es-ES"/>
          </w:rPr>
          <w:t>17</w:t>
        </w:r>
        <w:r>
          <w:fldChar w:fldCharType="end"/>
        </w:r>
      </w:p>
    </w:sdtContent>
  </w:sdt>
  <w:p w14:paraId="6CB7CD49" w14:textId="77777777" w:rsidR="00BD1812" w:rsidRDefault="00BD1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F46A" w14:textId="77777777" w:rsidR="00C63422" w:rsidRDefault="00C63422" w:rsidP="001275D8">
      <w:pPr>
        <w:spacing w:after="0" w:line="240" w:lineRule="auto"/>
      </w:pPr>
      <w:r>
        <w:separator/>
      </w:r>
    </w:p>
  </w:footnote>
  <w:footnote w:type="continuationSeparator" w:id="0">
    <w:p w14:paraId="21AF6D91" w14:textId="77777777" w:rsidR="00C63422" w:rsidRDefault="00C63422" w:rsidP="00127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35"/>
    <w:multiLevelType w:val="hybridMultilevel"/>
    <w:tmpl w:val="2F74CA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026C3F"/>
    <w:multiLevelType w:val="hybridMultilevel"/>
    <w:tmpl w:val="0640244A"/>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B2C1EAA"/>
    <w:multiLevelType w:val="hybridMultilevel"/>
    <w:tmpl w:val="2A904CEE"/>
    <w:lvl w:ilvl="0" w:tplc="5C3AA20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26A6991"/>
    <w:multiLevelType w:val="hybridMultilevel"/>
    <w:tmpl w:val="B42C8AA0"/>
    <w:lvl w:ilvl="0" w:tplc="250EF40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8367F1"/>
    <w:multiLevelType w:val="hybridMultilevel"/>
    <w:tmpl w:val="FA4AB51E"/>
    <w:lvl w:ilvl="0" w:tplc="7ACC6D2E">
      <w:start w:val="1"/>
      <w:numFmt w:val="lowerLetter"/>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0BE206D"/>
    <w:multiLevelType w:val="hybridMultilevel"/>
    <w:tmpl w:val="59A450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CB5636"/>
    <w:multiLevelType w:val="hybridMultilevel"/>
    <w:tmpl w:val="5A3C1BB4"/>
    <w:lvl w:ilvl="0" w:tplc="A6FCB3AC">
      <w:start w:val="1"/>
      <w:numFmt w:val="decimal"/>
      <w:lvlText w:val="%1."/>
      <w:lvlJc w:val="left"/>
      <w:pPr>
        <w:ind w:left="218" w:hanging="360"/>
      </w:pPr>
      <w:rPr>
        <w:rFonts w:hint="default"/>
      </w:rPr>
    </w:lvl>
    <w:lvl w:ilvl="1" w:tplc="280A0019">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45B43CC2"/>
    <w:multiLevelType w:val="hybridMultilevel"/>
    <w:tmpl w:val="09C4F400"/>
    <w:lvl w:ilvl="0" w:tplc="1B54B036">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B50495"/>
    <w:multiLevelType w:val="hybridMultilevel"/>
    <w:tmpl w:val="ADB2198E"/>
    <w:lvl w:ilvl="0" w:tplc="75E45184">
      <w:start w:val="1"/>
      <w:numFmt w:val="lowerLetter"/>
      <w:lvlText w:val="%1."/>
      <w:lvlJc w:val="left"/>
      <w:pPr>
        <w:ind w:left="3763" w:hanging="360"/>
      </w:pPr>
      <w:rPr>
        <w:rFonts w:hint="default"/>
      </w:rPr>
    </w:lvl>
    <w:lvl w:ilvl="1" w:tplc="0C0A0019">
      <w:start w:val="1"/>
      <w:numFmt w:val="lowerLetter"/>
      <w:lvlText w:val="%2."/>
      <w:lvlJc w:val="left"/>
      <w:pPr>
        <w:ind w:left="5178" w:hanging="360"/>
      </w:pPr>
    </w:lvl>
    <w:lvl w:ilvl="2" w:tplc="0C0A001B">
      <w:start w:val="1"/>
      <w:numFmt w:val="lowerRoman"/>
      <w:lvlText w:val="%3."/>
      <w:lvlJc w:val="right"/>
      <w:pPr>
        <w:ind w:left="5898" w:hanging="180"/>
      </w:pPr>
    </w:lvl>
    <w:lvl w:ilvl="3" w:tplc="0C0A000F">
      <w:start w:val="1"/>
      <w:numFmt w:val="decimal"/>
      <w:lvlText w:val="%4."/>
      <w:lvlJc w:val="left"/>
      <w:pPr>
        <w:ind w:left="6618" w:hanging="360"/>
      </w:pPr>
    </w:lvl>
    <w:lvl w:ilvl="4" w:tplc="0C0A0019">
      <w:start w:val="1"/>
      <w:numFmt w:val="lowerLetter"/>
      <w:lvlText w:val="%5."/>
      <w:lvlJc w:val="left"/>
      <w:pPr>
        <w:ind w:left="7338" w:hanging="360"/>
      </w:pPr>
    </w:lvl>
    <w:lvl w:ilvl="5" w:tplc="0C0A001B">
      <w:start w:val="1"/>
      <w:numFmt w:val="lowerRoman"/>
      <w:lvlText w:val="%6."/>
      <w:lvlJc w:val="right"/>
      <w:pPr>
        <w:ind w:left="8058" w:hanging="180"/>
      </w:pPr>
    </w:lvl>
    <w:lvl w:ilvl="6" w:tplc="0C0A000F" w:tentative="1">
      <w:start w:val="1"/>
      <w:numFmt w:val="decimal"/>
      <w:lvlText w:val="%7."/>
      <w:lvlJc w:val="left"/>
      <w:pPr>
        <w:ind w:left="8778" w:hanging="360"/>
      </w:pPr>
    </w:lvl>
    <w:lvl w:ilvl="7" w:tplc="0C0A0019" w:tentative="1">
      <w:start w:val="1"/>
      <w:numFmt w:val="lowerLetter"/>
      <w:lvlText w:val="%8."/>
      <w:lvlJc w:val="left"/>
      <w:pPr>
        <w:ind w:left="9498" w:hanging="360"/>
      </w:pPr>
    </w:lvl>
    <w:lvl w:ilvl="8" w:tplc="0C0A001B" w:tentative="1">
      <w:start w:val="1"/>
      <w:numFmt w:val="lowerRoman"/>
      <w:lvlText w:val="%9."/>
      <w:lvlJc w:val="right"/>
      <w:pPr>
        <w:ind w:left="10218" w:hanging="180"/>
      </w:pPr>
    </w:lvl>
  </w:abstractNum>
  <w:abstractNum w:abstractNumId="9" w15:restartNumberingAfterBreak="0">
    <w:nsid w:val="4B6222F2"/>
    <w:multiLevelType w:val="hybridMultilevel"/>
    <w:tmpl w:val="C9289714"/>
    <w:lvl w:ilvl="0" w:tplc="0204B0F8">
      <w:start w:val="1"/>
      <w:numFmt w:val="bullet"/>
      <w:lvlText w:val=""/>
      <w:lvlJc w:val="left"/>
      <w:pPr>
        <w:ind w:left="1069" w:hanging="360"/>
      </w:pPr>
      <w:rPr>
        <w:rFonts w:ascii="Symbol" w:hAnsi="Symbol" w:hint="default"/>
        <w:color w:val="auto"/>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0" w15:restartNumberingAfterBreak="0">
    <w:nsid w:val="4DFE5FD5"/>
    <w:multiLevelType w:val="hybridMultilevel"/>
    <w:tmpl w:val="B3B4B18E"/>
    <w:lvl w:ilvl="0" w:tplc="4B460CC4">
      <w:start w:val="1"/>
      <w:numFmt w:val="lowerLetter"/>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589C17DD"/>
    <w:multiLevelType w:val="hybridMultilevel"/>
    <w:tmpl w:val="B42C8AA0"/>
    <w:lvl w:ilvl="0" w:tplc="250EF40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9B36301"/>
    <w:multiLevelType w:val="hybridMultilevel"/>
    <w:tmpl w:val="B42C8AA0"/>
    <w:lvl w:ilvl="0" w:tplc="250EF40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905C8C"/>
    <w:multiLevelType w:val="hybridMultilevel"/>
    <w:tmpl w:val="ECECCCDC"/>
    <w:lvl w:ilvl="0" w:tplc="8438E4C4">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65D3B9E"/>
    <w:multiLevelType w:val="hybridMultilevel"/>
    <w:tmpl w:val="DCCC12EC"/>
    <w:lvl w:ilvl="0" w:tplc="280A8230">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C2C3077"/>
    <w:multiLevelType w:val="hybridMultilevel"/>
    <w:tmpl w:val="EC926584"/>
    <w:lvl w:ilvl="0" w:tplc="3558F7CC">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15:restartNumberingAfterBreak="0">
    <w:nsid w:val="6D701E7B"/>
    <w:multiLevelType w:val="hybridMultilevel"/>
    <w:tmpl w:val="125E2860"/>
    <w:lvl w:ilvl="0" w:tplc="280A000F">
      <w:start w:val="1"/>
      <w:numFmt w:val="decimal"/>
      <w:lvlText w:val="%1."/>
      <w:lvlJc w:val="left"/>
      <w:pPr>
        <w:ind w:left="896" w:hanging="360"/>
      </w:pPr>
    </w:lvl>
    <w:lvl w:ilvl="1" w:tplc="280A0019" w:tentative="1">
      <w:start w:val="1"/>
      <w:numFmt w:val="lowerLetter"/>
      <w:lvlText w:val="%2."/>
      <w:lvlJc w:val="left"/>
      <w:pPr>
        <w:ind w:left="1616" w:hanging="360"/>
      </w:pPr>
    </w:lvl>
    <w:lvl w:ilvl="2" w:tplc="280A001B" w:tentative="1">
      <w:start w:val="1"/>
      <w:numFmt w:val="lowerRoman"/>
      <w:lvlText w:val="%3."/>
      <w:lvlJc w:val="right"/>
      <w:pPr>
        <w:ind w:left="2336" w:hanging="180"/>
      </w:pPr>
    </w:lvl>
    <w:lvl w:ilvl="3" w:tplc="280A000F" w:tentative="1">
      <w:start w:val="1"/>
      <w:numFmt w:val="decimal"/>
      <w:lvlText w:val="%4."/>
      <w:lvlJc w:val="left"/>
      <w:pPr>
        <w:ind w:left="3056" w:hanging="360"/>
      </w:pPr>
    </w:lvl>
    <w:lvl w:ilvl="4" w:tplc="280A0019" w:tentative="1">
      <w:start w:val="1"/>
      <w:numFmt w:val="lowerLetter"/>
      <w:lvlText w:val="%5."/>
      <w:lvlJc w:val="left"/>
      <w:pPr>
        <w:ind w:left="3776" w:hanging="360"/>
      </w:pPr>
    </w:lvl>
    <w:lvl w:ilvl="5" w:tplc="280A001B" w:tentative="1">
      <w:start w:val="1"/>
      <w:numFmt w:val="lowerRoman"/>
      <w:lvlText w:val="%6."/>
      <w:lvlJc w:val="right"/>
      <w:pPr>
        <w:ind w:left="4496" w:hanging="180"/>
      </w:pPr>
    </w:lvl>
    <w:lvl w:ilvl="6" w:tplc="280A000F" w:tentative="1">
      <w:start w:val="1"/>
      <w:numFmt w:val="decimal"/>
      <w:lvlText w:val="%7."/>
      <w:lvlJc w:val="left"/>
      <w:pPr>
        <w:ind w:left="5216" w:hanging="360"/>
      </w:pPr>
    </w:lvl>
    <w:lvl w:ilvl="7" w:tplc="280A0019" w:tentative="1">
      <w:start w:val="1"/>
      <w:numFmt w:val="lowerLetter"/>
      <w:lvlText w:val="%8."/>
      <w:lvlJc w:val="left"/>
      <w:pPr>
        <w:ind w:left="5936" w:hanging="360"/>
      </w:pPr>
    </w:lvl>
    <w:lvl w:ilvl="8" w:tplc="280A001B" w:tentative="1">
      <w:start w:val="1"/>
      <w:numFmt w:val="lowerRoman"/>
      <w:lvlText w:val="%9."/>
      <w:lvlJc w:val="right"/>
      <w:pPr>
        <w:ind w:left="6656" w:hanging="180"/>
      </w:pPr>
    </w:lvl>
  </w:abstractNum>
  <w:abstractNum w:abstractNumId="17" w15:restartNumberingAfterBreak="0">
    <w:nsid w:val="6E6E513C"/>
    <w:multiLevelType w:val="multilevel"/>
    <w:tmpl w:val="85B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2D6BC7"/>
    <w:multiLevelType w:val="hybridMultilevel"/>
    <w:tmpl w:val="8D4E7EA6"/>
    <w:lvl w:ilvl="0" w:tplc="4610629A">
      <w:start w:val="1"/>
      <w:numFmt w:val="lowerLetter"/>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9" w15:restartNumberingAfterBreak="0">
    <w:nsid w:val="7176000E"/>
    <w:multiLevelType w:val="hybridMultilevel"/>
    <w:tmpl w:val="A2A4EDFE"/>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E392743"/>
    <w:multiLevelType w:val="hybridMultilevel"/>
    <w:tmpl w:val="E6C82C22"/>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6"/>
  </w:num>
  <w:num w:numId="5">
    <w:abstractNumId w:val="18"/>
  </w:num>
  <w:num w:numId="6">
    <w:abstractNumId w:val="10"/>
  </w:num>
  <w:num w:numId="7">
    <w:abstractNumId w:val="0"/>
  </w:num>
  <w:num w:numId="8">
    <w:abstractNumId w:val="16"/>
  </w:num>
  <w:num w:numId="9">
    <w:abstractNumId w:val="17"/>
  </w:num>
  <w:num w:numId="10">
    <w:abstractNumId w:val="7"/>
  </w:num>
  <w:num w:numId="11">
    <w:abstractNumId w:val="12"/>
  </w:num>
  <w:num w:numId="12">
    <w:abstractNumId w:val="11"/>
  </w:num>
  <w:num w:numId="13">
    <w:abstractNumId w:val="3"/>
  </w:num>
  <w:num w:numId="14">
    <w:abstractNumId w:val="14"/>
  </w:num>
  <w:num w:numId="15">
    <w:abstractNumId w:val="4"/>
  </w:num>
  <w:num w:numId="16">
    <w:abstractNumId w:val="13"/>
  </w:num>
  <w:num w:numId="17">
    <w:abstractNumId w:val="9"/>
  </w:num>
  <w:num w:numId="18">
    <w:abstractNumId w:val="8"/>
  </w:num>
  <w:num w:numId="19">
    <w:abstractNumId w:val="2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B3"/>
    <w:rsid w:val="00004810"/>
    <w:rsid w:val="00025084"/>
    <w:rsid w:val="00034E86"/>
    <w:rsid w:val="00057B97"/>
    <w:rsid w:val="00057BDE"/>
    <w:rsid w:val="00057CDD"/>
    <w:rsid w:val="000655A9"/>
    <w:rsid w:val="0007042B"/>
    <w:rsid w:val="000937C8"/>
    <w:rsid w:val="000A1490"/>
    <w:rsid w:val="000B42DB"/>
    <w:rsid w:val="000B624D"/>
    <w:rsid w:val="000C12F7"/>
    <w:rsid w:val="000C2D73"/>
    <w:rsid w:val="000D3D25"/>
    <w:rsid w:val="000E1209"/>
    <w:rsid w:val="000E17F6"/>
    <w:rsid w:val="000E330D"/>
    <w:rsid w:val="0010035D"/>
    <w:rsid w:val="001275D8"/>
    <w:rsid w:val="00133860"/>
    <w:rsid w:val="00145B4A"/>
    <w:rsid w:val="00163B5D"/>
    <w:rsid w:val="001713A3"/>
    <w:rsid w:val="00171E92"/>
    <w:rsid w:val="00180579"/>
    <w:rsid w:val="001920E0"/>
    <w:rsid w:val="00196370"/>
    <w:rsid w:val="001A15EE"/>
    <w:rsid w:val="001A515C"/>
    <w:rsid w:val="001D44B9"/>
    <w:rsid w:val="001E38EA"/>
    <w:rsid w:val="001E3E5A"/>
    <w:rsid w:val="001F2A50"/>
    <w:rsid w:val="002059C0"/>
    <w:rsid w:val="00220FAA"/>
    <w:rsid w:val="002219C0"/>
    <w:rsid w:val="00232E45"/>
    <w:rsid w:val="0024252B"/>
    <w:rsid w:val="002437A1"/>
    <w:rsid w:val="002506EF"/>
    <w:rsid w:val="00261F55"/>
    <w:rsid w:val="00281AFB"/>
    <w:rsid w:val="00286D74"/>
    <w:rsid w:val="002B5F92"/>
    <w:rsid w:val="002C0169"/>
    <w:rsid w:val="002D6297"/>
    <w:rsid w:val="002D7B80"/>
    <w:rsid w:val="002E4E46"/>
    <w:rsid w:val="002E6959"/>
    <w:rsid w:val="002F2D9F"/>
    <w:rsid w:val="00300678"/>
    <w:rsid w:val="003123C3"/>
    <w:rsid w:val="00317E16"/>
    <w:rsid w:val="003362C7"/>
    <w:rsid w:val="00337E2E"/>
    <w:rsid w:val="00390347"/>
    <w:rsid w:val="00396C94"/>
    <w:rsid w:val="003A4AE0"/>
    <w:rsid w:val="003B07D8"/>
    <w:rsid w:val="003B07F9"/>
    <w:rsid w:val="003E1656"/>
    <w:rsid w:val="003E2A4C"/>
    <w:rsid w:val="003E5AE7"/>
    <w:rsid w:val="003F7D24"/>
    <w:rsid w:val="00403FE8"/>
    <w:rsid w:val="004138BF"/>
    <w:rsid w:val="004303D3"/>
    <w:rsid w:val="0044475E"/>
    <w:rsid w:val="004450BD"/>
    <w:rsid w:val="004608A3"/>
    <w:rsid w:val="00471F28"/>
    <w:rsid w:val="00496237"/>
    <w:rsid w:val="004A716F"/>
    <w:rsid w:val="004B1E20"/>
    <w:rsid w:val="004C4977"/>
    <w:rsid w:val="004D4A84"/>
    <w:rsid w:val="004E5D8F"/>
    <w:rsid w:val="0050641D"/>
    <w:rsid w:val="00521B49"/>
    <w:rsid w:val="00526D9C"/>
    <w:rsid w:val="00565129"/>
    <w:rsid w:val="00572443"/>
    <w:rsid w:val="00586BD3"/>
    <w:rsid w:val="00592B18"/>
    <w:rsid w:val="005A2CB3"/>
    <w:rsid w:val="005A5827"/>
    <w:rsid w:val="005B25AC"/>
    <w:rsid w:val="005B2964"/>
    <w:rsid w:val="005B3C7E"/>
    <w:rsid w:val="005B6B30"/>
    <w:rsid w:val="005F0C40"/>
    <w:rsid w:val="005F4EB3"/>
    <w:rsid w:val="00621202"/>
    <w:rsid w:val="006451EC"/>
    <w:rsid w:val="00661605"/>
    <w:rsid w:val="0066209F"/>
    <w:rsid w:val="0067451A"/>
    <w:rsid w:val="006773DA"/>
    <w:rsid w:val="0068484C"/>
    <w:rsid w:val="00696D76"/>
    <w:rsid w:val="006B6234"/>
    <w:rsid w:val="006D133C"/>
    <w:rsid w:val="006D3BC4"/>
    <w:rsid w:val="006D6E21"/>
    <w:rsid w:val="006E4221"/>
    <w:rsid w:val="00704308"/>
    <w:rsid w:val="0070545B"/>
    <w:rsid w:val="007067EB"/>
    <w:rsid w:val="007220D3"/>
    <w:rsid w:val="00734B5C"/>
    <w:rsid w:val="00736039"/>
    <w:rsid w:val="0074327D"/>
    <w:rsid w:val="007562E8"/>
    <w:rsid w:val="0077150F"/>
    <w:rsid w:val="00772691"/>
    <w:rsid w:val="007743E3"/>
    <w:rsid w:val="00777486"/>
    <w:rsid w:val="00787606"/>
    <w:rsid w:val="00795F21"/>
    <w:rsid w:val="007C5BEF"/>
    <w:rsid w:val="007D60F4"/>
    <w:rsid w:val="007E7F31"/>
    <w:rsid w:val="007F3901"/>
    <w:rsid w:val="007F46EC"/>
    <w:rsid w:val="007F60BA"/>
    <w:rsid w:val="008058F0"/>
    <w:rsid w:val="00807649"/>
    <w:rsid w:val="00816EFA"/>
    <w:rsid w:val="008354B8"/>
    <w:rsid w:val="00846BA6"/>
    <w:rsid w:val="00855321"/>
    <w:rsid w:val="008619AF"/>
    <w:rsid w:val="008B246D"/>
    <w:rsid w:val="008B3F06"/>
    <w:rsid w:val="008C0130"/>
    <w:rsid w:val="008C204A"/>
    <w:rsid w:val="008C7FE2"/>
    <w:rsid w:val="008D2AB1"/>
    <w:rsid w:val="008D45BA"/>
    <w:rsid w:val="008E54FB"/>
    <w:rsid w:val="008E6BE1"/>
    <w:rsid w:val="008F21A3"/>
    <w:rsid w:val="008F3BEE"/>
    <w:rsid w:val="00900A4E"/>
    <w:rsid w:val="0090309D"/>
    <w:rsid w:val="00915349"/>
    <w:rsid w:val="00916CAD"/>
    <w:rsid w:val="00932CAF"/>
    <w:rsid w:val="00963805"/>
    <w:rsid w:val="00964CAC"/>
    <w:rsid w:val="0097064E"/>
    <w:rsid w:val="0097164F"/>
    <w:rsid w:val="00991628"/>
    <w:rsid w:val="009977DA"/>
    <w:rsid w:val="009A0AB8"/>
    <w:rsid w:val="009A31B1"/>
    <w:rsid w:val="009C00D1"/>
    <w:rsid w:val="009D6B08"/>
    <w:rsid w:val="009E0DC6"/>
    <w:rsid w:val="009E5B20"/>
    <w:rsid w:val="009F3072"/>
    <w:rsid w:val="00A04DB5"/>
    <w:rsid w:val="00A06821"/>
    <w:rsid w:val="00A1117E"/>
    <w:rsid w:val="00A14667"/>
    <w:rsid w:val="00A22B5B"/>
    <w:rsid w:val="00A50279"/>
    <w:rsid w:val="00A537D3"/>
    <w:rsid w:val="00A53947"/>
    <w:rsid w:val="00A71064"/>
    <w:rsid w:val="00A8037A"/>
    <w:rsid w:val="00A8105A"/>
    <w:rsid w:val="00A813F9"/>
    <w:rsid w:val="00A82086"/>
    <w:rsid w:val="00A840D6"/>
    <w:rsid w:val="00A95271"/>
    <w:rsid w:val="00AA14ED"/>
    <w:rsid w:val="00AA56A9"/>
    <w:rsid w:val="00AB151D"/>
    <w:rsid w:val="00AD51FE"/>
    <w:rsid w:val="00AD59A3"/>
    <w:rsid w:val="00AE0B0C"/>
    <w:rsid w:val="00AE142B"/>
    <w:rsid w:val="00AE278F"/>
    <w:rsid w:val="00AE7DAC"/>
    <w:rsid w:val="00AF7C4C"/>
    <w:rsid w:val="00B10040"/>
    <w:rsid w:val="00B119B0"/>
    <w:rsid w:val="00B13766"/>
    <w:rsid w:val="00B168A7"/>
    <w:rsid w:val="00B20C80"/>
    <w:rsid w:val="00B35467"/>
    <w:rsid w:val="00B3581D"/>
    <w:rsid w:val="00B374EF"/>
    <w:rsid w:val="00B42CF1"/>
    <w:rsid w:val="00B50B53"/>
    <w:rsid w:val="00B56FD7"/>
    <w:rsid w:val="00B61E7A"/>
    <w:rsid w:val="00B66D0E"/>
    <w:rsid w:val="00B80086"/>
    <w:rsid w:val="00B853D7"/>
    <w:rsid w:val="00B85EA4"/>
    <w:rsid w:val="00B94197"/>
    <w:rsid w:val="00BA10E6"/>
    <w:rsid w:val="00BA4A2B"/>
    <w:rsid w:val="00BB5191"/>
    <w:rsid w:val="00BC5447"/>
    <w:rsid w:val="00BD1812"/>
    <w:rsid w:val="00BD1A29"/>
    <w:rsid w:val="00BF7011"/>
    <w:rsid w:val="00C132D2"/>
    <w:rsid w:val="00C379D5"/>
    <w:rsid w:val="00C562D5"/>
    <w:rsid w:val="00C60B51"/>
    <w:rsid w:val="00C63422"/>
    <w:rsid w:val="00C72E2C"/>
    <w:rsid w:val="00CA1F41"/>
    <w:rsid w:val="00CB2DA4"/>
    <w:rsid w:val="00CC26BA"/>
    <w:rsid w:val="00CF6A4A"/>
    <w:rsid w:val="00D07224"/>
    <w:rsid w:val="00D30C79"/>
    <w:rsid w:val="00D31C45"/>
    <w:rsid w:val="00D339A5"/>
    <w:rsid w:val="00D37D19"/>
    <w:rsid w:val="00D41771"/>
    <w:rsid w:val="00D45A19"/>
    <w:rsid w:val="00D51745"/>
    <w:rsid w:val="00D74E7A"/>
    <w:rsid w:val="00D91FF9"/>
    <w:rsid w:val="00DA2E13"/>
    <w:rsid w:val="00DC0D84"/>
    <w:rsid w:val="00DD424C"/>
    <w:rsid w:val="00DD48B1"/>
    <w:rsid w:val="00DD682D"/>
    <w:rsid w:val="00DD76D1"/>
    <w:rsid w:val="00DE6697"/>
    <w:rsid w:val="00E02313"/>
    <w:rsid w:val="00E03ED0"/>
    <w:rsid w:val="00E11A8E"/>
    <w:rsid w:val="00E21407"/>
    <w:rsid w:val="00E4410B"/>
    <w:rsid w:val="00E476E1"/>
    <w:rsid w:val="00E66082"/>
    <w:rsid w:val="00E761C2"/>
    <w:rsid w:val="00EA1DB8"/>
    <w:rsid w:val="00EA3A7E"/>
    <w:rsid w:val="00EB5E7F"/>
    <w:rsid w:val="00EC27DB"/>
    <w:rsid w:val="00EC49D4"/>
    <w:rsid w:val="00EC67A3"/>
    <w:rsid w:val="00ED53C7"/>
    <w:rsid w:val="00EF0433"/>
    <w:rsid w:val="00EF7519"/>
    <w:rsid w:val="00F1676E"/>
    <w:rsid w:val="00F20BB0"/>
    <w:rsid w:val="00F3000A"/>
    <w:rsid w:val="00F35791"/>
    <w:rsid w:val="00F37B3D"/>
    <w:rsid w:val="00F62150"/>
    <w:rsid w:val="00F77CEF"/>
    <w:rsid w:val="00F822E9"/>
    <w:rsid w:val="00F95706"/>
    <w:rsid w:val="00F96CA6"/>
    <w:rsid w:val="00FA6929"/>
    <w:rsid w:val="00FC2B2D"/>
    <w:rsid w:val="00FC39F3"/>
    <w:rsid w:val="00FC3ABB"/>
    <w:rsid w:val="00FC4F6C"/>
    <w:rsid w:val="00FC513E"/>
    <w:rsid w:val="00FF1BD9"/>
    <w:rsid w:val="00FF1E28"/>
    <w:rsid w:val="00FF35DA"/>
    <w:rsid w:val="00FF77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8292"/>
  <w15:chartTrackingRefBased/>
  <w15:docId w15:val="{3BEC3F7E-21B5-4AD7-97BF-7506A8CF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B3"/>
    <w:pPr>
      <w:spacing w:after="120" w:line="264" w:lineRule="auto"/>
    </w:pPr>
    <w:rPr>
      <w:rFonts w:asciiTheme="minorHAnsi" w:eastAsiaTheme="minorEastAsia" w:hAnsiTheme="minorHAnsi" w:cstheme="minorBidi"/>
      <w:bCs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Viñeta normal,Párrafo de lista2,List Paragraph,reducira,Fundamentacion,Lista vistosa - Énfasis 11,Bulleted List,SubPárrafo de lista,Cita Pie de Página,titulo,Titulo de Fígura,TITULO A,Lista media 2 - Énfasis 41,figuras cap 5"/>
    <w:basedOn w:val="Normal"/>
    <w:link w:val="PrrafodelistaCar"/>
    <w:uiPriority w:val="34"/>
    <w:qFormat/>
    <w:rsid w:val="005F4EB3"/>
    <w:pPr>
      <w:ind w:left="720"/>
      <w:contextualSpacing/>
    </w:pPr>
  </w:style>
  <w:style w:type="character" w:customStyle="1" w:styleId="PrrafodelistaCar">
    <w:name w:val="Párrafo de lista Car"/>
    <w:aliases w:val="Lista 123 Car,Viñeta normal Car,Párrafo de lista2 Car,List Paragraph Car,reducira Car,Fundamentacion Car,Lista vistosa - Énfasis 11 Car,Bulleted List Car,SubPárrafo de lista Car,Cita Pie de Página Car,titulo Car,Titulo de Fígura Car"/>
    <w:link w:val="Prrafodelista"/>
    <w:uiPriority w:val="34"/>
    <w:locked/>
    <w:rsid w:val="005F4EB3"/>
    <w:rPr>
      <w:rFonts w:asciiTheme="minorHAnsi" w:eastAsiaTheme="minorEastAsia" w:hAnsiTheme="minorHAnsi" w:cstheme="minorBidi"/>
      <w:bCs w:val="0"/>
      <w:sz w:val="20"/>
      <w:szCs w:val="20"/>
    </w:rPr>
  </w:style>
  <w:style w:type="paragraph" w:customStyle="1" w:styleId="Default">
    <w:name w:val="Default"/>
    <w:rsid w:val="005F4EB3"/>
    <w:pPr>
      <w:autoSpaceDE w:val="0"/>
      <w:autoSpaceDN w:val="0"/>
      <w:adjustRightInd w:val="0"/>
      <w:spacing w:after="0" w:line="240" w:lineRule="auto"/>
    </w:pPr>
    <w:rPr>
      <w:rFonts w:ascii="Book Antiqua" w:eastAsiaTheme="minorEastAsia" w:hAnsi="Book Antiqua" w:cs="Book Antiqua"/>
      <w:bCs w:val="0"/>
      <w:color w:val="000000"/>
      <w:lang w:val="es-ES"/>
    </w:rPr>
  </w:style>
  <w:style w:type="character" w:customStyle="1" w:styleId="Fuentedeprrafopredeter1">
    <w:name w:val="Fuente de párrafo predeter.1"/>
    <w:rsid w:val="005F4EB3"/>
  </w:style>
  <w:style w:type="paragraph" w:styleId="Bibliografa">
    <w:name w:val="Bibliography"/>
    <w:basedOn w:val="Normal"/>
    <w:next w:val="Normal"/>
    <w:uiPriority w:val="37"/>
    <w:unhideWhenUsed/>
    <w:rsid w:val="005F4EB3"/>
    <w:pPr>
      <w:spacing w:after="200" w:line="276" w:lineRule="auto"/>
    </w:pPr>
    <w:rPr>
      <w:rFonts w:eastAsiaTheme="minorHAnsi"/>
      <w:sz w:val="22"/>
      <w:szCs w:val="22"/>
    </w:rPr>
  </w:style>
  <w:style w:type="paragraph" w:styleId="Sinespaciado">
    <w:name w:val="No Spacing"/>
    <w:uiPriority w:val="1"/>
    <w:qFormat/>
    <w:rsid w:val="005F4EB3"/>
    <w:pPr>
      <w:spacing w:after="0" w:line="240" w:lineRule="auto"/>
    </w:pPr>
    <w:rPr>
      <w:rFonts w:eastAsiaTheme="minorEastAsia"/>
      <w:bCs w:val="0"/>
    </w:rPr>
  </w:style>
  <w:style w:type="paragraph" w:styleId="TDC1">
    <w:name w:val="toc 1"/>
    <w:basedOn w:val="Normal"/>
    <w:next w:val="Normal"/>
    <w:autoRedefine/>
    <w:uiPriority w:val="39"/>
    <w:unhideWhenUsed/>
    <w:rsid w:val="005F4EB3"/>
    <w:pPr>
      <w:tabs>
        <w:tab w:val="left" w:pos="567"/>
        <w:tab w:val="left" w:pos="800"/>
        <w:tab w:val="center" w:pos="8778"/>
      </w:tabs>
      <w:spacing w:after="240" w:line="276" w:lineRule="auto"/>
      <w:ind w:left="-142" w:right="-285"/>
      <w:jc w:val="both"/>
    </w:pPr>
    <w:rPr>
      <w:rFonts w:ascii="Arial" w:hAnsi="Arial" w:cs="Arial"/>
      <w:b/>
      <w:bCs/>
      <w:sz w:val="24"/>
      <w:szCs w:val="24"/>
    </w:rPr>
  </w:style>
  <w:style w:type="paragraph" w:styleId="Encabezado">
    <w:name w:val="header"/>
    <w:basedOn w:val="Normal"/>
    <w:link w:val="EncabezadoCar"/>
    <w:uiPriority w:val="99"/>
    <w:unhideWhenUsed/>
    <w:rsid w:val="00127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5D8"/>
    <w:rPr>
      <w:rFonts w:asciiTheme="minorHAnsi" w:eastAsiaTheme="minorEastAsia" w:hAnsiTheme="minorHAnsi" w:cstheme="minorBidi"/>
      <w:bCs w:val="0"/>
      <w:sz w:val="20"/>
      <w:szCs w:val="20"/>
    </w:rPr>
  </w:style>
  <w:style w:type="paragraph" w:styleId="Piedepgina">
    <w:name w:val="footer"/>
    <w:basedOn w:val="Normal"/>
    <w:link w:val="PiedepginaCar"/>
    <w:uiPriority w:val="99"/>
    <w:unhideWhenUsed/>
    <w:rsid w:val="00127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5D8"/>
    <w:rPr>
      <w:rFonts w:asciiTheme="minorHAnsi" w:eastAsiaTheme="minorEastAsia" w:hAnsiTheme="minorHAnsi" w:cstheme="minorBidi"/>
      <w:bCs w:val="0"/>
      <w:sz w:val="20"/>
      <w:szCs w:val="20"/>
    </w:rPr>
  </w:style>
  <w:style w:type="paragraph" w:styleId="Textonotapie">
    <w:name w:val="footnote text"/>
    <w:basedOn w:val="Normal"/>
    <w:link w:val="TextonotapieCar"/>
    <w:semiHidden/>
    <w:unhideWhenUsed/>
    <w:rsid w:val="00736039"/>
    <w:pPr>
      <w:spacing w:after="0" w:line="240" w:lineRule="auto"/>
    </w:pPr>
  </w:style>
  <w:style w:type="character" w:customStyle="1" w:styleId="TextonotapieCar">
    <w:name w:val="Texto nota pie Car"/>
    <w:basedOn w:val="Fuentedeprrafopredeter"/>
    <w:link w:val="Textonotapie"/>
    <w:semiHidden/>
    <w:rsid w:val="00736039"/>
    <w:rPr>
      <w:rFonts w:asciiTheme="minorHAnsi" w:eastAsiaTheme="minorEastAsia" w:hAnsiTheme="minorHAnsi" w:cstheme="minorBidi"/>
      <w:bCs w:val="0"/>
      <w:sz w:val="20"/>
      <w:szCs w:val="20"/>
    </w:rPr>
  </w:style>
  <w:style w:type="character" w:styleId="Refdenotaalpie">
    <w:name w:val="footnote reference"/>
    <w:basedOn w:val="Fuentedeprrafopredeter"/>
    <w:semiHidden/>
    <w:unhideWhenUsed/>
    <w:rsid w:val="00736039"/>
    <w:rPr>
      <w:vertAlign w:val="superscript"/>
    </w:rPr>
  </w:style>
  <w:style w:type="paragraph" w:styleId="NormalWeb">
    <w:name w:val="Normal (Web)"/>
    <w:basedOn w:val="Normal"/>
    <w:uiPriority w:val="99"/>
    <w:semiHidden/>
    <w:unhideWhenUsed/>
    <w:rsid w:val="00057CDD"/>
    <w:pPr>
      <w:spacing w:before="100" w:beforeAutospacing="1" w:after="100" w:afterAutospacing="1" w:line="240" w:lineRule="auto"/>
    </w:pPr>
    <w:rPr>
      <w:rFonts w:ascii="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A1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5EE"/>
    <w:rPr>
      <w:rFonts w:ascii="Segoe UI" w:eastAsiaTheme="minorEastAsia" w:hAnsi="Segoe UI" w:cs="Segoe UI"/>
      <w:bCs w:val="0"/>
      <w:sz w:val="18"/>
      <w:szCs w:val="18"/>
    </w:rPr>
  </w:style>
  <w:style w:type="paragraph" w:styleId="Textoindependiente">
    <w:name w:val="Body Text"/>
    <w:basedOn w:val="Normal"/>
    <w:link w:val="TextoindependienteCar"/>
    <w:rsid w:val="00846BA6"/>
    <w:pPr>
      <w:spacing w:after="0" w:line="240" w:lineRule="auto"/>
      <w:jc w:val="center"/>
    </w:pPr>
    <w:rPr>
      <w:rFonts w:ascii="Arial" w:eastAsia="Times New Roman" w:hAnsi="Arial" w:cs="Times New Roman"/>
      <w:b/>
      <w:bCs/>
      <w:sz w:val="32"/>
      <w:szCs w:val="24"/>
      <w:lang w:val="es-ES" w:eastAsia="es-ES"/>
    </w:rPr>
  </w:style>
  <w:style w:type="character" w:customStyle="1" w:styleId="TextoindependienteCar">
    <w:name w:val="Texto independiente Car"/>
    <w:basedOn w:val="Fuentedeprrafopredeter"/>
    <w:link w:val="Textoindependiente"/>
    <w:rsid w:val="00846BA6"/>
    <w:rPr>
      <w:rFonts w:eastAsia="Times New Roman" w:cs="Times New Roman"/>
      <w:b/>
      <w:sz w:val="32"/>
      <w:lang w:val="es-ES" w:eastAsia="es-ES"/>
    </w:rPr>
  </w:style>
  <w:style w:type="paragraph" w:styleId="HTMLconformatoprevio">
    <w:name w:val="HTML Preformatted"/>
    <w:basedOn w:val="Normal"/>
    <w:link w:val="HTMLconformatoprevioCar"/>
    <w:uiPriority w:val="99"/>
    <w:semiHidden/>
    <w:unhideWhenUsed/>
    <w:rsid w:val="0068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s-PE"/>
    </w:rPr>
  </w:style>
  <w:style w:type="character" w:customStyle="1" w:styleId="HTMLconformatoprevioCar">
    <w:name w:val="HTML con formato previo Car"/>
    <w:basedOn w:val="Fuentedeprrafopredeter"/>
    <w:link w:val="HTMLconformatoprevio"/>
    <w:uiPriority w:val="99"/>
    <w:semiHidden/>
    <w:rsid w:val="0068484C"/>
    <w:rPr>
      <w:rFonts w:ascii="Courier New" w:eastAsia="Times New Roman" w:hAnsi="Courier New" w:cs="Courier New"/>
      <w:bCs w:val="0"/>
      <w:sz w:val="20"/>
      <w:szCs w:val="20"/>
      <w:lang w:eastAsia="es-PE"/>
    </w:rPr>
  </w:style>
  <w:style w:type="paragraph" w:styleId="Ttulo">
    <w:name w:val="Title"/>
    <w:basedOn w:val="Normal"/>
    <w:link w:val="TtuloCar"/>
    <w:qFormat/>
    <w:rsid w:val="0068484C"/>
    <w:pPr>
      <w:spacing w:after="0" w:line="240" w:lineRule="auto"/>
      <w:jc w:val="center"/>
    </w:pPr>
    <w:rPr>
      <w:rFonts w:ascii="Times New Roman" w:eastAsia="Times New Roman" w:hAnsi="Times New Roman" w:cs="Times New Roman"/>
      <w:b/>
      <w:sz w:val="24"/>
      <w:u w:val="single"/>
      <w:lang w:val="es-ES" w:eastAsia="es-ES"/>
    </w:rPr>
  </w:style>
  <w:style w:type="character" w:customStyle="1" w:styleId="TtuloCar">
    <w:name w:val="Título Car"/>
    <w:basedOn w:val="Fuentedeprrafopredeter"/>
    <w:link w:val="Ttulo"/>
    <w:rsid w:val="0068484C"/>
    <w:rPr>
      <w:rFonts w:ascii="Times New Roman" w:eastAsia="Times New Roman" w:hAnsi="Times New Roman" w:cs="Times New Roman"/>
      <w:b/>
      <w:bCs w:val="0"/>
      <w:szCs w:val="20"/>
      <w:u w:val="single"/>
      <w:lang w:val="es-ES" w:eastAsia="es-ES"/>
    </w:rPr>
  </w:style>
  <w:style w:type="paragraph" w:styleId="Sangra2detindependiente">
    <w:name w:val="Body Text Indent 2"/>
    <w:basedOn w:val="Normal"/>
    <w:link w:val="Sangra2detindependienteCar"/>
    <w:uiPriority w:val="99"/>
    <w:semiHidden/>
    <w:unhideWhenUsed/>
    <w:rsid w:val="007C5BEF"/>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5BEF"/>
    <w:rPr>
      <w:rFonts w:asciiTheme="minorHAnsi" w:eastAsiaTheme="minorEastAsia" w:hAnsiTheme="minorHAnsi" w:cstheme="minorBidi"/>
      <w:bCs w:val="0"/>
      <w:sz w:val="20"/>
      <w:szCs w:val="20"/>
    </w:rPr>
  </w:style>
  <w:style w:type="character" w:styleId="Hipervnculo">
    <w:name w:val="Hyperlink"/>
    <w:uiPriority w:val="99"/>
    <w:rsid w:val="00D31C45"/>
    <w:rPr>
      <w:color w:val="0000FF"/>
      <w:u w:val="single"/>
    </w:rPr>
  </w:style>
  <w:style w:type="character" w:customStyle="1" w:styleId="ff3">
    <w:name w:val="ff3"/>
    <w:basedOn w:val="Fuentedeprrafopredeter"/>
    <w:rsid w:val="00B168A7"/>
  </w:style>
  <w:style w:type="character" w:customStyle="1" w:styleId="a">
    <w:name w:val="_"/>
    <w:basedOn w:val="Fuentedeprrafopredeter"/>
    <w:rsid w:val="00B168A7"/>
  </w:style>
  <w:style w:type="character" w:customStyle="1" w:styleId="fs7">
    <w:name w:val="fs7"/>
    <w:basedOn w:val="Fuentedeprrafopredeter"/>
    <w:rsid w:val="00B168A7"/>
  </w:style>
  <w:style w:type="character" w:customStyle="1" w:styleId="v0">
    <w:name w:val="v0"/>
    <w:basedOn w:val="Fuentedeprrafopredeter"/>
    <w:rsid w:val="00B168A7"/>
  </w:style>
  <w:style w:type="character" w:customStyle="1" w:styleId="ff1">
    <w:name w:val="ff1"/>
    <w:basedOn w:val="Fuentedeprrafopredeter"/>
    <w:rsid w:val="00B168A7"/>
  </w:style>
  <w:style w:type="character" w:customStyle="1" w:styleId="ff4">
    <w:name w:val="ff4"/>
    <w:basedOn w:val="Fuentedeprrafopredeter"/>
    <w:rsid w:val="00B168A7"/>
  </w:style>
  <w:style w:type="character" w:styleId="nfasis">
    <w:name w:val="Emphasis"/>
    <w:basedOn w:val="Fuentedeprrafopredeter"/>
    <w:uiPriority w:val="20"/>
    <w:qFormat/>
    <w:rsid w:val="008C204A"/>
    <w:rPr>
      <w:i/>
      <w:iCs/>
    </w:rPr>
  </w:style>
  <w:style w:type="table" w:customStyle="1" w:styleId="Listamedia11">
    <w:name w:val="Lista media 11"/>
    <w:basedOn w:val="Tablanormal"/>
    <w:next w:val="Listamedia1"/>
    <w:uiPriority w:val="65"/>
    <w:rsid w:val="00004810"/>
    <w:pPr>
      <w:spacing w:after="0" w:line="240" w:lineRule="auto"/>
    </w:pPr>
    <w:rPr>
      <w:rFonts w:ascii="Calibri" w:hAnsi="Calibri" w:cs="Times New Roman"/>
      <w:bCs w:val="0"/>
      <w:color w:val="000000"/>
      <w:sz w:val="22"/>
      <w:szCs w:val="22"/>
      <w:lang w:val="es-E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semiHidden/>
    <w:unhideWhenUsed/>
    <w:rsid w:val="000048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next w:val="Listamedia1"/>
    <w:uiPriority w:val="65"/>
    <w:rsid w:val="00BA10E6"/>
    <w:pPr>
      <w:spacing w:after="0" w:line="240" w:lineRule="auto"/>
    </w:pPr>
    <w:rPr>
      <w:rFonts w:ascii="Calibri" w:hAnsi="Calibri" w:cs="Times New Roman"/>
      <w:bCs w:val="0"/>
      <w:color w:val="000000"/>
      <w:sz w:val="22"/>
      <w:szCs w:val="22"/>
      <w:lang w:val="es-E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Mencinsinresolver">
    <w:name w:val="Unresolved Mention"/>
    <w:basedOn w:val="Fuentedeprrafopredeter"/>
    <w:uiPriority w:val="99"/>
    <w:semiHidden/>
    <w:unhideWhenUsed/>
    <w:rsid w:val="0023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4585">
      <w:bodyDiv w:val="1"/>
      <w:marLeft w:val="0"/>
      <w:marRight w:val="0"/>
      <w:marTop w:val="0"/>
      <w:marBottom w:val="0"/>
      <w:divBdr>
        <w:top w:val="none" w:sz="0" w:space="0" w:color="auto"/>
        <w:left w:val="none" w:sz="0" w:space="0" w:color="auto"/>
        <w:bottom w:val="none" w:sz="0" w:space="0" w:color="auto"/>
        <w:right w:val="none" w:sz="0" w:space="0" w:color="auto"/>
      </w:divBdr>
    </w:div>
    <w:div w:id="176238086">
      <w:bodyDiv w:val="1"/>
      <w:marLeft w:val="0"/>
      <w:marRight w:val="0"/>
      <w:marTop w:val="0"/>
      <w:marBottom w:val="0"/>
      <w:divBdr>
        <w:top w:val="none" w:sz="0" w:space="0" w:color="auto"/>
        <w:left w:val="none" w:sz="0" w:space="0" w:color="auto"/>
        <w:bottom w:val="none" w:sz="0" w:space="0" w:color="auto"/>
        <w:right w:val="none" w:sz="0" w:space="0" w:color="auto"/>
      </w:divBdr>
    </w:div>
    <w:div w:id="245112270">
      <w:bodyDiv w:val="1"/>
      <w:marLeft w:val="0"/>
      <w:marRight w:val="0"/>
      <w:marTop w:val="0"/>
      <w:marBottom w:val="0"/>
      <w:divBdr>
        <w:top w:val="none" w:sz="0" w:space="0" w:color="auto"/>
        <w:left w:val="none" w:sz="0" w:space="0" w:color="auto"/>
        <w:bottom w:val="none" w:sz="0" w:space="0" w:color="auto"/>
        <w:right w:val="none" w:sz="0" w:space="0" w:color="auto"/>
      </w:divBdr>
    </w:div>
    <w:div w:id="553584090">
      <w:bodyDiv w:val="1"/>
      <w:marLeft w:val="0"/>
      <w:marRight w:val="0"/>
      <w:marTop w:val="0"/>
      <w:marBottom w:val="0"/>
      <w:divBdr>
        <w:top w:val="none" w:sz="0" w:space="0" w:color="auto"/>
        <w:left w:val="none" w:sz="0" w:space="0" w:color="auto"/>
        <w:bottom w:val="none" w:sz="0" w:space="0" w:color="auto"/>
        <w:right w:val="none" w:sz="0" w:space="0" w:color="auto"/>
      </w:divBdr>
    </w:div>
    <w:div w:id="931740915">
      <w:bodyDiv w:val="1"/>
      <w:marLeft w:val="0"/>
      <w:marRight w:val="0"/>
      <w:marTop w:val="0"/>
      <w:marBottom w:val="0"/>
      <w:divBdr>
        <w:top w:val="none" w:sz="0" w:space="0" w:color="auto"/>
        <w:left w:val="none" w:sz="0" w:space="0" w:color="auto"/>
        <w:bottom w:val="none" w:sz="0" w:space="0" w:color="auto"/>
        <w:right w:val="none" w:sz="0" w:space="0" w:color="auto"/>
      </w:divBdr>
    </w:div>
    <w:div w:id="1380084548">
      <w:bodyDiv w:val="1"/>
      <w:marLeft w:val="0"/>
      <w:marRight w:val="0"/>
      <w:marTop w:val="0"/>
      <w:marBottom w:val="0"/>
      <w:divBdr>
        <w:top w:val="none" w:sz="0" w:space="0" w:color="auto"/>
        <w:left w:val="none" w:sz="0" w:space="0" w:color="auto"/>
        <w:bottom w:val="none" w:sz="0" w:space="0" w:color="auto"/>
        <w:right w:val="none" w:sz="0" w:space="0" w:color="auto"/>
      </w:divBdr>
      <w:divsChild>
        <w:div w:id="1929070004">
          <w:marLeft w:val="0"/>
          <w:marRight w:val="0"/>
          <w:marTop w:val="0"/>
          <w:marBottom w:val="0"/>
          <w:divBdr>
            <w:top w:val="none" w:sz="0" w:space="0" w:color="auto"/>
            <w:left w:val="none" w:sz="0" w:space="0" w:color="auto"/>
            <w:bottom w:val="none" w:sz="0" w:space="0" w:color="auto"/>
            <w:right w:val="none" w:sz="0" w:space="0" w:color="auto"/>
          </w:divBdr>
        </w:div>
        <w:div w:id="718089202">
          <w:marLeft w:val="0"/>
          <w:marRight w:val="0"/>
          <w:marTop w:val="0"/>
          <w:marBottom w:val="0"/>
          <w:divBdr>
            <w:top w:val="none" w:sz="0" w:space="0" w:color="auto"/>
            <w:left w:val="none" w:sz="0" w:space="0" w:color="auto"/>
            <w:bottom w:val="none" w:sz="0" w:space="0" w:color="auto"/>
            <w:right w:val="none" w:sz="0" w:space="0" w:color="auto"/>
          </w:divBdr>
        </w:div>
        <w:div w:id="151526804">
          <w:marLeft w:val="0"/>
          <w:marRight w:val="0"/>
          <w:marTop w:val="0"/>
          <w:marBottom w:val="0"/>
          <w:divBdr>
            <w:top w:val="none" w:sz="0" w:space="0" w:color="auto"/>
            <w:left w:val="none" w:sz="0" w:space="0" w:color="auto"/>
            <w:bottom w:val="none" w:sz="0" w:space="0" w:color="auto"/>
            <w:right w:val="none" w:sz="0" w:space="0" w:color="auto"/>
          </w:divBdr>
        </w:div>
        <w:div w:id="1302033061">
          <w:marLeft w:val="0"/>
          <w:marRight w:val="0"/>
          <w:marTop w:val="0"/>
          <w:marBottom w:val="0"/>
          <w:divBdr>
            <w:top w:val="none" w:sz="0" w:space="0" w:color="auto"/>
            <w:left w:val="none" w:sz="0" w:space="0" w:color="auto"/>
            <w:bottom w:val="none" w:sz="0" w:space="0" w:color="auto"/>
            <w:right w:val="none" w:sz="0" w:space="0" w:color="auto"/>
          </w:divBdr>
        </w:div>
        <w:div w:id="1605918886">
          <w:marLeft w:val="0"/>
          <w:marRight w:val="0"/>
          <w:marTop w:val="0"/>
          <w:marBottom w:val="0"/>
          <w:divBdr>
            <w:top w:val="none" w:sz="0" w:space="0" w:color="auto"/>
            <w:left w:val="none" w:sz="0" w:space="0" w:color="auto"/>
            <w:bottom w:val="none" w:sz="0" w:space="0" w:color="auto"/>
            <w:right w:val="none" w:sz="0" w:space="0" w:color="auto"/>
          </w:divBdr>
        </w:div>
        <w:div w:id="1581452337">
          <w:marLeft w:val="0"/>
          <w:marRight w:val="0"/>
          <w:marTop w:val="0"/>
          <w:marBottom w:val="0"/>
          <w:divBdr>
            <w:top w:val="none" w:sz="0" w:space="0" w:color="auto"/>
            <w:left w:val="none" w:sz="0" w:space="0" w:color="auto"/>
            <w:bottom w:val="none" w:sz="0" w:space="0" w:color="auto"/>
            <w:right w:val="none" w:sz="0" w:space="0" w:color="auto"/>
          </w:divBdr>
        </w:div>
        <w:div w:id="1118181105">
          <w:marLeft w:val="0"/>
          <w:marRight w:val="0"/>
          <w:marTop w:val="0"/>
          <w:marBottom w:val="0"/>
          <w:divBdr>
            <w:top w:val="none" w:sz="0" w:space="0" w:color="auto"/>
            <w:left w:val="none" w:sz="0" w:space="0" w:color="auto"/>
            <w:bottom w:val="none" w:sz="0" w:space="0" w:color="auto"/>
            <w:right w:val="none" w:sz="0" w:space="0" w:color="auto"/>
          </w:divBdr>
        </w:div>
        <w:div w:id="907182050">
          <w:marLeft w:val="0"/>
          <w:marRight w:val="0"/>
          <w:marTop w:val="0"/>
          <w:marBottom w:val="0"/>
          <w:divBdr>
            <w:top w:val="none" w:sz="0" w:space="0" w:color="auto"/>
            <w:left w:val="none" w:sz="0" w:space="0" w:color="auto"/>
            <w:bottom w:val="none" w:sz="0" w:space="0" w:color="auto"/>
            <w:right w:val="none" w:sz="0" w:space="0" w:color="auto"/>
          </w:divBdr>
        </w:div>
        <w:div w:id="511069000">
          <w:marLeft w:val="0"/>
          <w:marRight w:val="0"/>
          <w:marTop w:val="0"/>
          <w:marBottom w:val="0"/>
          <w:divBdr>
            <w:top w:val="none" w:sz="0" w:space="0" w:color="auto"/>
            <w:left w:val="none" w:sz="0" w:space="0" w:color="auto"/>
            <w:bottom w:val="none" w:sz="0" w:space="0" w:color="auto"/>
            <w:right w:val="none" w:sz="0" w:space="0" w:color="auto"/>
          </w:divBdr>
        </w:div>
        <w:div w:id="410203878">
          <w:marLeft w:val="0"/>
          <w:marRight w:val="0"/>
          <w:marTop w:val="0"/>
          <w:marBottom w:val="0"/>
          <w:divBdr>
            <w:top w:val="none" w:sz="0" w:space="0" w:color="auto"/>
            <w:left w:val="none" w:sz="0" w:space="0" w:color="auto"/>
            <w:bottom w:val="none" w:sz="0" w:space="0" w:color="auto"/>
            <w:right w:val="none" w:sz="0" w:space="0" w:color="auto"/>
          </w:divBdr>
        </w:div>
        <w:div w:id="931863567">
          <w:marLeft w:val="0"/>
          <w:marRight w:val="0"/>
          <w:marTop w:val="0"/>
          <w:marBottom w:val="0"/>
          <w:divBdr>
            <w:top w:val="none" w:sz="0" w:space="0" w:color="auto"/>
            <w:left w:val="none" w:sz="0" w:space="0" w:color="auto"/>
            <w:bottom w:val="none" w:sz="0" w:space="0" w:color="auto"/>
            <w:right w:val="none" w:sz="0" w:space="0" w:color="auto"/>
          </w:divBdr>
        </w:div>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6690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cv.edu.pe/bitstream/handle/20.500.12692/6921/Aparicio-ON.pdf?sequence=1&amp;isAllowed=y" TargetMode="External"/><Relationship Id="rId13" Type="http://schemas.openxmlformats.org/officeDocument/2006/relationships/hyperlink" Target="http://hdl.handle.net/2117/953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v.es/contenidos/CAMUNISO/info/U066935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positorio.uncp.edu.pe/bitstream/handle/20.500.12894/1328/Tesis-Angel-Unchupaico.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is.ipn.mx/bitstream/handle/123456789/13675/TESIS%20FINAL_1.pdf" TargetMode="External"/><Relationship Id="rId5" Type="http://schemas.openxmlformats.org/officeDocument/2006/relationships/webSettings" Target="webSettings.xml"/><Relationship Id="rId15" Type="http://schemas.openxmlformats.org/officeDocument/2006/relationships/hyperlink" Target="https://bibliotecauvirtual.files.wordpress.com/2019/06/libro_educ_amb_peru.pdf" TargetMode="External"/><Relationship Id="rId10" Type="http://schemas.openxmlformats.org/officeDocument/2006/relationships/hyperlink" Target="https://tesis.pucp.edu.pe/repositorio/handle/20.500.12404/51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ositorio.ucv.edu.pe/browse?type=subject&amp;value=Turismo%20-%20Desarrollo%20%E2%80%93%20Sostenible%20%E2%80%93%20Quives" TargetMode="External"/><Relationship Id="rId14" Type="http://schemas.openxmlformats.org/officeDocument/2006/relationships/hyperlink" Target="https://www.un.org/es/ga/president/65/issues/sustdev.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2218-7030-4F07-9B88-D332BEFE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6252</Words>
  <Characters>34389</Characters>
  <Application>Microsoft Office Word</Application>
  <DocSecurity>0</DocSecurity>
  <Lines>286</Lines>
  <Paragraphs>81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Análisis inferencial </vt:lpstr>
    </vt:vector>
  </TitlesOfParts>
  <Company>Hewlett-Packard</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Espinoza Quilca</dc:creator>
  <cp:keywords/>
  <dc:description/>
  <cp:lastModifiedBy>GISELLE HUAMAN SANCHEZ</cp:lastModifiedBy>
  <cp:revision>2</cp:revision>
  <cp:lastPrinted>2022-07-02T03:20:00Z</cp:lastPrinted>
  <dcterms:created xsi:type="dcterms:W3CDTF">2022-07-02T03:21:00Z</dcterms:created>
  <dcterms:modified xsi:type="dcterms:W3CDTF">2022-07-02T03:21:00Z</dcterms:modified>
</cp:coreProperties>
</file>